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Microsoft YaHei" w:hAnsi="Microsoft YaHei" w:eastAsia="Microsoft YaHei"/>
          <w:b/>
          <w:color w:val="16262B"/>
          <w:sz w:val="48"/>
        </w:rPr>
        <w:t>云美工业AI优化平台（YunMei iAOP）—— 产品设计文档（PRD）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>版本：v1.1（PRD，已据评审意见修订） | 编制：bot_po（产品审核） | 日期：2026-08-04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>关联文档：《项目对比与通用产品可行性分析》《通用工业AI优化平台_产品策划方案》《市场调研复盘》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>密级：商业机密 | 状态：待正式评审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0. 文档说明与修订记录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版本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日期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修订人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v1.0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2026-08-04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bot_po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首版 PRD，基于已交付化工AI平台（吸附树脂）沉淀与氯化车间AI需求外推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v1.1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2026-08-04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bot_po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据《PRD 评审意见》修订：补全角色画像/5类模板交付物/模型框架模板化技术路径/NFR/里程碑排期（P0）；新增风险与缓解、价值指标映射、假设与依赖、未覆盖范围、成本附录（P1/P2）；架构/流程图改用 Mermaid；补模块级细节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v1.2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2026-08-04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bot_po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据《v1.1 二次评审意见》修订：① NFR/风险/里程碑各加一段正文导语，确保纯文本抽取可读；② 里程碑表增加负责人与工期列；③ 第13章补充依赖-备选方案矩阵；④ 4 处 Mermaid 图渲染为 PNG 并嵌入文档；⑤ 删除易引发误解的已完成标注，改为中性章节编号</w:t>
            </w:r>
          </w:p>
        </w:tc>
      </w:tr>
    </w:tbl>
    <w:p>
      <w:pPr>
        <w:spacing w:after="40"/>
      </w:pPr>
    </w:p>
    <w:p>
      <w:r>
        <w:rPr>
          <w:rFonts w:ascii="Microsoft YaHei" w:hAnsi="Microsoft YaHei" w:eastAsia="Microsoft YaHei"/>
          <w:b/>
        </w:rPr>
        <w:t>阅读对象</w:t>
      </w:r>
      <w:r>
        <w:rPr>
          <w:rFonts w:ascii="Microsoft YaHei" w:hAnsi="Microsoft YaHei" w:eastAsia="Microsoft YaHei"/>
          <w:b w:val="0"/>
        </w:rPr>
        <w:t>：bot_pm（任务拆分）、bot_dev1/dev2（开发实现）、售前/客户成功、行业工程师。</w:t>
      </w:r>
    </w:p>
    <w:p>
      <w:r>
        <w:rPr>
          <w:rFonts w:ascii="Microsoft YaHei" w:hAnsi="Microsoft YaHei" w:eastAsia="Microsoft YaHei"/>
          <w:b/>
        </w:rPr>
        <w:t>本文档定位</w:t>
      </w:r>
      <w:r>
        <w:rPr>
          <w:rFonts w:ascii="Microsoft YaHei" w:hAnsi="Microsoft YaHei" w:eastAsia="Microsoft YaHei"/>
          <w:b w:val="0"/>
        </w:rPr>
        <w:t>：本文档是《产品策划方案》的</w:t>
      </w:r>
      <w:r>
        <w:rPr>
          <w:rFonts w:ascii="Microsoft YaHei" w:hAnsi="Microsoft YaHei" w:eastAsia="Microsoft YaHei"/>
          <w:b/>
        </w:rPr>
        <w:t>设计层下钻</w:t>
      </w:r>
      <w:r>
        <w:rPr>
          <w:rFonts w:ascii="Microsoft YaHei" w:hAnsi="Microsoft YaHei" w:eastAsia="Microsoft YaHei"/>
          <w:b w:val="0"/>
        </w:rPr>
        <w:t>——策划方案回答"为什么做、卖给谁、怎么收费"，本文档回答"产品具体由哪些模块构成、每个模块怎么设计、首模板如何落地、按什么标准验收"。</w:t>
      </w:r>
    </w:p>
    <w:p>
      <w:r>
        <w:rPr>
          <w:rFonts w:ascii="Microsoft YaHei" w:hAnsi="Microsoft YaHei" w:eastAsia="Microsoft YaHei"/>
          <w:b/>
        </w:rPr>
        <w:t>本文档未覆盖范围</w:t>
      </w:r>
      <w:r>
        <w:rPr>
          <w:rFonts w:ascii="Microsoft YaHei" w:hAnsi="Microsoft YaHei" w:eastAsia="Microsoft YaHei"/>
          <w:b w:val="0"/>
        </w:rPr>
        <w:t>：① 对外商务定价与合同条款（见《产品策划方案》第七章）；② 售后 SLA 与运维收费标准；③ 具体算法选型与超参寻优（属开发实现细节，由 bot_dev 在任务中确定）；④ 第三方组件采购与License合规；⑤ 单厂实施方案文档（由交付阶段产出）。凡涉及上述范围，以关联文档或后续专项文档为准，评审时不在此文档内延展。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1. 设计目标与原则</w:t>
      </w:r>
    </w:p>
    <w:p>
      <w:pPr>
        <w:pStyle w:val="CustomHeading2"/>
      </w:pPr>
      <w:r>
        <w:t>1.1 产品目标</w:t>
      </w:r>
    </w:p>
    <w:p>
      <w:r>
        <w:rPr>
          <w:rFonts w:ascii="Microsoft YaHei" w:hAnsi="Microsoft YaHei" w:eastAsia="Microsoft YaHei"/>
          <w:b w:val="0"/>
        </w:rPr>
        <w:t>将已交付的"化工新材料AI平台"（吸附树脂，9个月/76任务/33需求/3万+行代码）</w:t>
      </w:r>
      <w:r>
        <w:rPr>
          <w:rFonts w:ascii="Microsoft YaHei" w:hAnsi="Microsoft YaHei" w:eastAsia="Microsoft YaHei"/>
          <w:b/>
        </w:rPr>
        <w:t>平台化、配置化</w:t>
      </w:r>
      <w:r>
        <w:rPr>
          <w:rFonts w:ascii="Microsoft YaHei" w:hAnsi="Microsoft YaHei" w:eastAsia="Microsoft YaHei"/>
          <w:b w:val="0"/>
        </w:rPr>
        <w:t>为可复用的通用内核（iAOP-Core），并以"行业模板"形式复制到氯化车间（海绵钛）、化肥、制药等行业，实现"内核一次建设、N 个行业复制"。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/>
          <w:color w:val="5B6B70"/>
        </w:rPr>
        <w:t>关于 N 的范围预期（回应评审）</w:t>
      </w:r>
      <w:r>
        <w:rPr>
          <w:rFonts w:ascii="Microsoft YaHei" w:hAnsi="Microsoft YaHei" w:eastAsia="Microsoft YaHei"/>
          <w:b w:val="0"/>
          <w:color w:val="5B6B70"/>
        </w:rPr>
        <w:t xml:space="preserve">：首年目标落地 </w:t>
      </w:r>
      <w:r>
        <w:rPr>
          <w:rFonts w:ascii="Microsoft YaHei" w:hAnsi="Microsoft YaHei" w:eastAsia="Microsoft YaHei"/>
          <w:b/>
          <w:color w:val="5B6B70"/>
        </w:rPr>
        <w:t>3–5 个行业模板</w:t>
      </w:r>
      <w:r>
        <w:rPr>
          <w:rFonts w:ascii="Microsoft YaHei" w:hAnsi="Microsoft YaHei" w:eastAsia="Microsoft YaHei"/>
          <w:b w:val="0"/>
          <w:color w:val="5B6B70"/>
        </w:rPr>
        <w:t xml:space="preserve">（氯化/海绵钛、树脂固化、化肥、制药中选3–5个），形成可复制模板库；中长期（2–3年）沉淀 </w:t>
      </w:r>
      <w:r>
        <w:rPr>
          <w:rFonts w:ascii="Microsoft YaHei" w:hAnsi="Microsoft YaHei" w:eastAsia="Microsoft YaHei"/>
          <w:b/>
          <w:color w:val="5B6B70"/>
        </w:rPr>
        <w:t>10+ 行业模板</w:t>
      </w:r>
      <w:r>
        <w:rPr>
          <w:rFonts w:ascii="Microsoft YaHei" w:hAnsi="Microsoft YaHei" w:eastAsia="Microsoft YaHei"/>
          <w:b w:val="0"/>
          <w:color w:val="5B6B70"/>
        </w:rPr>
        <w:t>，并以伙伴体系对外开放模板共建。</w:t>
      </w:r>
    </w:p>
    <w:p>
      <w:pPr>
        <w:pStyle w:val="CustomHeading2"/>
      </w:pPr>
      <w:r>
        <w:t>1.2 设计原则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配置驱动，代码零改</w:t>
      </w:r>
      <w:r>
        <w:rPr>
          <w:rFonts w:ascii="Microsoft YaHei" w:hAnsi="Microsoft YaHei" w:eastAsia="Microsoft YaHei"/>
          <w:b w:val="0"/>
        </w:rPr>
        <w:t>：所有行业差异（点位、工艺、知识、超参、布局）外置为模板资产，新行业落地不碰内核代码。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数据不出厂</w:t>
      </w:r>
      <w:r>
        <w:rPr>
          <w:rFonts w:ascii="Microsoft YaHei" w:hAnsi="Microsoft YaHei" w:eastAsia="Microsoft YaHei"/>
          <w:b w:val="0"/>
        </w:rPr>
        <w:t>：本地 70B + 敏感度路由，敏感数据本地闭环，仅脱敏/公开内容可走云端API。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只读采集，安全优先</w:t>
      </w:r>
      <w:r>
        <w:rPr>
          <w:rFonts w:ascii="Microsoft YaHei" w:hAnsi="Microsoft YaHei" w:eastAsia="Microsoft YaHei"/>
          <w:b w:val="0"/>
        </w:rPr>
        <w:t>：边缘网关严格只读，断点续传，不影响生产控制。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渐进交付</w:t>
      </w:r>
      <w:r>
        <w:rPr>
          <w:rFonts w:ascii="Microsoft YaHei" w:hAnsi="Microsoft YaHei" w:eastAsia="Microsoft YaHei"/>
          <w:b w:val="0"/>
        </w:rPr>
        <w:t>：先监控+预警+LLM辅助（低数据门槛），后优化寻优（高数据门槛）。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可度量价值</w:t>
      </w:r>
      <w:r>
        <w:rPr>
          <w:rFonts w:ascii="Microsoft YaHei" w:hAnsi="Microsoft YaHei" w:eastAsia="Microsoft YaHei"/>
          <w:b w:val="0"/>
        </w:rPr>
        <w:t>：每个功能须对应可量化的质量/能耗/效率指标（见 1.4 价值指标映射表，原则已落地到模块验收）。</w:t>
      </w:r>
    </w:p>
    <w:p>
      <w:pPr>
        <w:pStyle w:val="CustomHeading2"/>
      </w:pPr>
      <w:r>
        <w:t>1.3 关键设计约束（来自已交付基线）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采集性能：P99 ≤ 1.8s，丢失率 ≤ 0.02%（600 点位 1Hz 实测达标）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可用性：≥ 99.8%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LLM 安全：敏感度路由准确率 96.5%，DLP 拦截率 100%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本地首 token：≤ 1.5s（70B 本地推理）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硬件基线：4×RTX 5090（推理）+ 应用库服务器；支持华为昇腾 NPU 适配层</w:t>
      </w:r>
    </w:p>
    <w:p>
      <w:pPr>
        <w:pStyle w:val="CustomHeading2"/>
      </w:pPr>
      <w:r>
        <w:t>1.4 价值指标映射表</w:t>
      </w:r>
    </w:p>
    <w:p>
      <w:r>
        <w:rPr>
          <w:rFonts w:ascii="Microsoft YaHei" w:hAnsi="Microsoft YaHei" w:eastAsia="Microsoft YaHei"/>
          <w:b w:val="0"/>
        </w:rPr>
        <w:t>将每个模块对应到可量化的客户价值指标，作为模块验收的可度量锚点（与第 10 章验收标准一一挂钩）：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可量化客户价值指标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目标基线（首厂验收口径）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5.1 边缘采集网关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数据完整率 / 采集实时性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丢失率 ≤ 0.02%，P99 ≤ 1.8s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5.3 质量预测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质检返工率降低 / 一次合格率提升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关键质量指标预测准确率 ≥ 90%，返工相关判定误报率 ≤ 5%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5.3 工艺优化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吨产品能耗降低 X%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典型工况节能 3–8%（视工艺而定，二期验证）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5.3 异常/杂质预警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非计划停机时长降低 / 异常发现提前量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炉层杂质预警提前 ≥ 30 分钟，误报率 ≤ 8%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5.4 LLM 网关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交接班/报告人工耗时降低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交接班报告生成由 20 分钟降至 ≤ 2 分钟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5.5 配置化驾驶舱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管理决策时效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核心 KPI 查看由日报级提升至分钟级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5.7 模板配置台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新行业交付周期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单行业模板 2–4 周（见第 11 章定义）</w:t>
            </w:r>
          </w:p>
        </w:tc>
      </w:tr>
    </w:tbl>
    <w:p>
      <w:pPr>
        <w:spacing w:after="40"/>
      </w:pP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2. 用户角色与场景</w:t>
      </w:r>
    </w:p>
    <w:p>
      <w:pPr>
        <w:pStyle w:val="CustomHeading2"/>
      </w:pPr>
      <w:r>
        <w:t>2.1 角色画像</w:t>
      </w:r>
    </w:p>
    <w:p>
      <w:r>
        <w:rPr>
          <w:rFonts w:ascii="Microsoft YaHei" w:hAnsi="Microsoft YaHei" w:eastAsia="Microsoft YaHei"/>
          <w:b/>
        </w:rPr>
        <w:t>① 一线操作工 / 值班长 —— 张工（化名）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职位</w:t>
      </w:r>
      <w:r>
        <w:rPr>
          <w:rFonts w:ascii="Microsoft YaHei" w:hAnsi="Microsoft YaHei" w:eastAsia="Microsoft YaHei"/>
          <w:b w:val="0"/>
        </w:rPr>
        <w:t>：氯化车间甲班值班长，中专学历，15 年氯化工龄。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痛点</w:t>
      </w:r>
      <w:r>
        <w:rPr>
          <w:rFonts w:ascii="Microsoft YaHei" w:hAnsi="Microsoft YaHei" w:eastAsia="Microsoft YaHei"/>
          <w:b w:val="0"/>
        </w:rPr>
        <w:t>：夜班炉层温度/杂质波动时，靠经验判断"是不是要出事"，一旦误判导致非计划停车，整班受考核；交接班靠手写记录，信息易遗漏。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日常工具</w:t>
      </w:r>
      <w:r>
        <w:rPr>
          <w:rFonts w:ascii="Microsoft YaHei" w:hAnsi="Microsoft YaHei" w:eastAsia="Microsoft YaHei"/>
          <w:b w:val="0"/>
        </w:rPr>
        <w:t>：DCS 操作站、对讲机、纸质交接班记录本、微信群。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技术接受度</w:t>
      </w:r>
      <w:r>
        <w:rPr>
          <w:rFonts w:ascii="Microsoft YaHei" w:hAnsi="Microsoft YaHei" w:eastAsia="Microsoft YaHei"/>
          <w:b w:val="0"/>
        </w:rPr>
        <w:t>：低-中，习惯"看画面+听结论"，不接受复杂表单；移动端可用但仅用于看数。</w:t>
      </w:r>
    </w:p>
    <w:p>
      <w:r>
        <w:rPr>
          <w:rFonts w:ascii="Microsoft YaHei" w:hAnsi="Microsoft YaHei" w:eastAsia="Microsoft YaHei"/>
          <w:b/>
        </w:rPr>
        <w:t>② 工艺 / 研发工程师 —— 李工（化名）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职位</w:t>
      </w:r>
      <w:r>
        <w:rPr>
          <w:rFonts w:ascii="Microsoft YaHei" w:hAnsi="Microsoft YaHei" w:eastAsia="Microsoft YaHei"/>
          <w:b w:val="0"/>
        </w:rPr>
        <w:t>：工艺技术科工程师，本科化工专业，负责配方调整与异常根因分析。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痛点</w:t>
      </w:r>
      <w:r>
        <w:rPr>
          <w:rFonts w:ascii="Microsoft YaHei" w:hAnsi="Microsoft YaHei" w:eastAsia="Microsoft YaHei"/>
          <w:b w:val="0"/>
        </w:rPr>
        <w:t>：配方调整靠小试+历史经验，缺乏"参数-质量"量化模型；异常根因排查跨工序（TiCl₄纯度→海绵钛），数据散在多系统，排查耗时。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日常工具</w:t>
      </w:r>
      <w:r>
        <w:rPr>
          <w:rFonts w:ascii="Microsoft YaHei" w:hAnsi="Microsoft YaHei" w:eastAsia="Microsoft YaHei"/>
          <w:b w:val="0"/>
        </w:rPr>
        <w:t>：Excel、LIMS、DCS 趋势、工艺文档 PDF。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技术接受度</w:t>
      </w:r>
      <w:r>
        <w:rPr>
          <w:rFonts w:ascii="Microsoft YaHei" w:hAnsi="Microsoft YaHei" w:eastAsia="Microsoft YaHei"/>
          <w:b w:val="0"/>
        </w:rPr>
        <w:t>：高，愿意用 RAG 问答与根因分析，但要求结果可解释、可溯源（要引用依据）。</w:t>
      </w:r>
    </w:p>
    <w:p>
      <w:r>
        <w:rPr>
          <w:rFonts w:ascii="Microsoft YaHei" w:hAnsi="Microsoft YaHei" w:eastAsia="Microsoft YaHei"/>
          <w:b/>
        </w:rPr>
        <w:t>③ 生产 / 经营管理者 —— 王主任（化名）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职位</w:t>
      </w:r>
      <w:r>
        <w:rPr>
          <w:rFonts w:ascii="Microsoft YaHei" w:hAnsi="Microsoft YaHei" w:eastAsia="Microsoft YaHei"/>
          <w:b w:val="0"/>
        </w:rPr>
        <w:t>：生产运行部主任，关注能耗、质量与交付。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痛点</w:t>
      </w:r>
      <w:r>
        <w:rPr>
          <w:rFonts w:ascii="Microsoft YaHei" w:hAnsi="Microsoft YaHei" w:eastAsia="Microsoft YaHei"/>
          <w:b w:val="0"/>
        </w:rPr>
        <w:t>：日报周报靠人工汇总，滞后 1 天以上；无法实时掌握"哪些环节在拖能耗/质量后腿"。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日常工具</w:t>
      </w:r>
      <w:r>
        <w:rPr>
          <w:rFonts w:ascii="Microsoft YaHei" w:hAnsi="Microsoft YaHei" w:eastAsia="Microsoft YaHei"/>
          <w:b w:val="0"/>
        </w:rPr>
        <w:t>：ERP 报表、微信群通报、会议室大屏。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技术接受度</w:t>
      </w:r>
      <w:r>
        <w:rPr>
          <w:rFonts w:ascii="Microsoft YaHei" w:hAnsi="Microsoft YaHei" w:eastAsia="Microsoft YaHei"/>
          <w:b w:val="0"/>
        </w:rPr>
        <w:t>：中，重视"结论+趋势"，驾驶舱与移动助手是其主入口。</w:t>
      </w:r>
    </w:p>
    <w:p>
      <w:pPr>
        <w:pStyle w:val="CustomHeading2"/>
      </w:pPr>
      <w:r>
        <w:t>2.2 典型场景流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场景A（监控）</w:t>
      </w:r>
      <w:r>
        <w:rPr>
          <w:rFonts w:ascii="Microsoft YaHei" w:hAnsi="Microsoft YaHei" w:eastAsia="Microsoft YaHei"/>
          <w:b w:val="0"/>
        </w:rPr>
        <w:t>：炉层温度异常 → 网关采集 → 异常检测模型触发 → 驾驶舱红色告警 + LLM 生成"原因+处置建议" → 值班长确认。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*不做 iAOP 时*：张工凭经验盯趋势，靠微信群喊人，平均 20–40 分钟后才发现；无根因解释，处置靠老师傅口传。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场景B（优化）</w:t>
      </w:r>
      <w:r>
        <w:rPr>
          <w:rFonts w:ascii="Microsoft YaHei" w:hAnsi="Microsoft YaHei" w:eastAsia="Microsoft YaHei"/>
          <w:b w:val="0"/>
        </w:rPr>
        <w:t>：下一批次质量目标下达 → 工艺优化模型给出参数建议 → 李工 review → 下发 DCS → 实际质量反馈回流训练。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*不做 iAOP 时*：李工翻 Excel 历史批次手工拟合，单次配方评估 0.5–1 天，结论主观、不可复现。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场景C（辅助）</w:t>
      </w:r>
      <w:r>
        <w:rPr>
          <w:rFonts w:ascii="Microsoft YaHei" w:hAnsi="Microsoft YaHei" w:eastAsia="Microsoft YaHei"/>
          <w:b w:val="0"/>
        </w:rPr>
        <w:t>：交接班 → LLM 汇总本班关键事件/能耗/待办 → 生成交接班报告 → 推送下一班。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*不做 iAOP 时*：手写记录本 + 口头交代，遗漏率约 15%（历史访谈估计），夜班事故回溯困难。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3. 总体功能架构</w:t>
      </w:r>
    </w:p>
    <w:p>
      <w:r>
        <w:rPr>
          <w:rFonts w:ascii="Microsoft YaHei" w:hAnsi="Microsoft YaHei" w:eastAsia="Microsoft YaHei"/>
          <w:b/>
        </w:rPr>
        <w:t>分层架构</w:t>
      </w:r>
      <w:r>
        <w:rPr>
          <w:rFonts w:ascii="Microsoft YaHei" w:hAnsi="Microsoft YaHei" w:eastAsia="Microsoft YaHei"/>
          <w:b w:val="0"/>
        </w:rPr>
        <w:t>：行业模板层（可复制售卖）构建于 iAOP-Core 通用内核之上；模板配置台是平台化改造的核心新增件。下图将架构表达为三层：行业模板、通用内核、模板配置台。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33976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arc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97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/>
        </w:rPr>
        <w:t>新增设计点</w:t>
      </w:r>
      <w:r>
        <w:rPr>
          <w:rFonts w:ascii="Microsoft YaHei" w:hAnsi="Microsoft YaHei" w:eastAsia="Microsoft YaHei"/>
          <w:b w:val="0"/>
        </w:rPr>
        <w:t>：模板配置台（Template Console）是平台化改造的核心新增件，让行业工程师/实施人员通过 UI 完成模板的导入、配置、校验、发布，无需改码。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4. 核心业务流程（端到端）</w:t>
      </w:r>
    </w:p>
    <w:p>
      <w:r>
        <w:rPr>
          <w:rFonts w:ascii="Microsoft YaHei" w:hAnsi="Microsoft YaHei" w:eastAsia="Microsoft YaHei"/>
          <w:b w:val="0"/>
        </w:rPr>
        <w:t>下图表达从生产现场采集到 AI 推理、LLM 解释、驾驶舱呈现、最终部署底座的端到端数据流。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4466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446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5. 功能模块详细设计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 xml:space="preserve">每个模块统一含：目的 / 能力 / 配置点 / 验收 / </w:t>
      </w:r>
      <w:r>
        <w:rPr>
          <w:rFonts w:ascii="Microsoft YaHei" w:hAnsi="Microsoft YaHei" w:eastAsia="Microsoft YaHei"/>
          <w:b/>
          <w:color w:val="5B6B70"/>
        </w:rPr>
        <w:t>用户操作流程</w:t>
      </w:r>
      <w:r>
        <w:rPr>
          <w:rFonts w:ascii="Microsoft YaHei" w:hAnsi="Microsoft YaHei" w:eastAsia="Microsoft YaHei"/>
          <w:b w:val="0"/>
          <w:color w:val="5B6B70"/>
        </w:rPr>
        <w:t>。标注 ⚠️ 者为平台化改造重点。</w:t>
      </w:r>
    </w:p>
    <w:p>
      <w:pPr>
        <w:pStyle w:val="CustomHeading2"/>
      </w:pPr>
      <w:r>
        <w:t>5.1 ① 边缘采集网关（Edge Gateway）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：安全、稳定地把车间实时数据接入平台，严格只读、不反控。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：协议可插拔（OPC UA / S7(西门子) / Modbus / 称重 / 能源表）；采集配置由"点位字典CSV"驱动；断点续传、本地缓存、背压保护；采集健康度监控（丢失率、延迟 P99）。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</w:t>
      </w:r>
      <w:r>
        <w:rPr>
          <w:rFonts w:ascii="Microsoft YaHei" w:hAnsi="Microsoft YaHei" w:eastAsia="Microsoft YaHei"/>
          <w:b w:val="0"/>
        </w:rPr>
        <w:t>：点位字典、采集周期、缓存上限、网络抖动重试策略。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：实施工程师在配置台导入客户 DCS 点表 CSV → 系统校验设备/测点完整性 → 推送至边缘网关加载 → 网关启动只读采集 → 实时回传健康度（丢失率/P99）至驾驶舱。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CSV 字段规范示例</w:t>
      </w:r>
      <w:r>
        <w:rPr>
          <w:rFonts w:ascii="Microsoft YaHei" w:hAnsi="Microsoft YaHei" w:eastAsia="Microsoft YaHei"/>
          <w:b w:val="0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约束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device_id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string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必填，唯一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设备编号，如 CLF-01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point_id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string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必填，唯一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测点编号，如 CLF-01.TEMP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name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string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中文名，炉温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unit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enum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℃/kPa/m³/h/%/…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dataType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enum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float/int/bool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sampleRate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int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必填，&gt;0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采集周期(ms)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qualityCode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bool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默认 true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是否启用质量码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opcNode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string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选填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OPC UA 节点路径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：600 点位 1Hz，P99 ≤ 1.8s，丢失率 ≤ 0.02%；零控制指令下发。</w:t>
      </w:r>
    </w:p>
    <w:p>
      <w:pPr>
        <w:pStyle w:val="CustomHeading2"/>
      </w:pPr>
      <w:r>
        <w:t>5.2 ② 数据总线 + 时序库（Data Bus）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：为模型与驾驶舱提供高吞吐、低延迟的数据底座。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架构</w:t>
      </w:r>
      <w:r>
        <w:rPr>
          <w:rFonts w:ascii="Microsoft YaHei" w:hAnsi="Microsoft YaHei" w:eastAsia="Microsoft YaHei"/>
          <w:b w:val="0"/>
        </w:rPr>
        <w:t>：Kafka（流式）→ TDengine（时序）+ PostgreSQL（关系/配置/标签）+ MinIO（对象/文件/模型artifact）。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：标签体系（设备-测点-批次-质量）、时序聚合、批量写入、特征快照导出供训练。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批量写入指标说明</w:t>
      </w:r>
      <w:r>
        <w:rPr>
          <w:rFonts w:ascii="Microsoft YaHei" w:hAnsi="Microsoft YaHei" w:eastAsia="Microsoft YaHei"/>
          <w:b w:val="0"/>
        </w:rPr>
        <w:t>：</w:t>
      </w:r>
      <w:r>
        <w:rPr>
          <w:rFonts w:ascii="Microsoft YaHei" w:hAnsi="Microsoft YaHei" w:eastAsia="Microsoft YaHei"/>
          <w:b/>
        </w:rPr>
        <w:t>5k 条/100ms</w:t>
      </w:r>
      <w:r>
        <w:rPr>
          <w:rFonts w:ascii="Microsoft YaHei" w:hAnsi="Microsoft YaHei" w:eastAsia="Microsoft YaHei"/>
          <w:b w:val="0"/>
        </w:rPr>
        <w:t xml:space="preserve"> 为单分区 8 并发 producer、3 节点 Kafka 集群、单消息约 512B（含 100 点位快照）、TDengine 2.0 集群环境实测；非极限压测，作为容量规划下限参考。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</w:t>
      </w:r>
      <w:r>
        <w:rPr>
          <w:rFonts w:ascii="Microsoft YaHei" w:hAnsi="Microsoft YaHei" w:eastAsia="Microsoft YaHei"/>
          <w:b w:val="0"/>
        </w:rPr>
        <w:t>：保留策略、分区策略、特征窗口定义（由工艺模板指定）。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：数据接入后运维在驾驶舱查看吞吐/积压 → 按需调整保留策略与分区 → 模型任务订阅特征快照。</w:t>
      </w:r>
    </w:p>
    <w:p>
      <w:pPr>
        <w:pStyle w:val="CustomHeading2"/>
      </w:pPr>
      <w:r>
        <w:t>5.3 ③ AI 模型框架（AI Model Framework）⚠️ 平台化改造重点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：把"写死在树脂场景"的 4 类模型重构为</w:t>
      </w:r>
      <w:r>
        <w:rPr>
          <w:rFonts w:ascii="Microsoft YaHei" w:hAnsi="Microsoft YaHei" w:eastAsia="Microsoft YaHei"/>
          <w:b/>
        </w:rPr>
        <w:t>可配置模板</w:t>
      </w:r>
      <w:r>
        <w:rPr>
          <w:rFonts w:ascii="Microsoft YaHei" w:hAnsi="Microsoft YaHei" w:eastAsia="Microsoft YaHei"/>
          <w:b w:val="0"/>
        </w:rPr>
        <w:t>，由超参包驱动。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四类模型模板</w:t>
      </w:r>
      <w:r>
        <w:rPr>
          <w:rFonts w:ascii="Microsoft YaHei" w:hAnsi="Microsoft YaHei" w:eastAsia="Microsoft YaHei"/>
          <w:b w:val="0"/>
        </w:rPr>
        <w:t>（与氯化车间 4 智能体 1:1 映射）：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</w:tblGrid>
      <w:tr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模型模板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输入输出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对应氯化智能体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数据门槛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质量预测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监督回归/分类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入：工艺参数+原料特征；出：关键质量指标预测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① 质量预测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中（需历史标注）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工艺优化/配方推荐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优化/推荐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入：质量目标+约束；出：参数/配方建议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② 配方动态优化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高（需闭环反馈）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异常检测/杂质预警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无监督+阈值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入：实时测点；出：异常评分+预警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③ 炉层杂质预警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低（监控即可）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跨工序关联寻优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关联建模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入：上游(TiCl₄)指标；出：下游(海绵钛)寻优建议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④ TiCl₄→海绵钛寻优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高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Microsoft YaHei" w:hAnsi="Microsoft YaHei" w:eastAsia="Microsoft YaHei"/>
          <w:b/>
        </w:rPr>
        <w:t>模板化技术路径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网络结构策略</w:t>
      </w:r>
      <w:r>
        <w:rPr>
          <w:rFonts w:ascii="Microsoft YaHei" w:hAnsi="Microsoft YaHei" w:eastAsia="Microsoft YaHei"/>
          <w:b w:val="0"/>
        </w:rPr>
        <w:t xml:space="preserve">：采用「固定主干网络 + 可配置超参」为默认模式（如质量预测统一用 GBDT/XGBoost 或轻量 DNN，结构不变）；同时提供 </w:t>
      </w:r>
      <w:r>
        <w:rPr>
          <w:rFonts w:ascii="Microsoft YaHei" w:hAnsi="Microsoft YaHei" w:eastAsia="Microsoft YaHei"/>
          <w:b/>
        </w:rPr>
        <w:t>Model Recipe 注册表</w:t>
      </w:r>
      <w:r>
        <w:rPr>
          <w:rFonts w:ascii="Microsoft YaHei" w:hAnsi="Microsoft YaHei" w:eastAsia="Microsoft YaHei"/>
          <w:b w:val="0"/>
        </w:rPr>
        <w:t>，允许高级行业模板通过声明式 recipe 选择不同网络结构（如 LSTM 用于时序、GNN 用于跨工序），</w:t>
      </w:r>
      <w:r>
        <w:rPr>
          <w:rFonts w:ascii="Microsoft YaHei" w:hAnsi="Microsoft YaHei" w:eastAsia="Microsoft YaHei"/>
          <w:b/>
        </w:rPr>
        <w:t>新增结构走插件注册而非改内核</w:t>
      </w:r>
      <w:r>
        <w:rPr>
          <w:rFonts w:ascii="Microsoft YaHei" w:hAnsi="Microsoft YaHei" w:eastAsia="Microsoft YaHei"/>
          <w:b w:val="0"/>
        </w:rPr>
        <w:t>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特征工程层跨行业差异处理</w:t>
      </w:r>
      <w:r>
        <w:rPr>
          <w:rFonts w:ascii="Microsoft YaHei" w:hAnsi="Microsoft YaHei" w:eastAsia="Microsoft YaHei"/>
          <w:b w:val="0"/>
        </w:rPr>
        <w:t>：特征以</w:t>
      </w:r>
      <w:r>
        <w:rPr>
          <w:rFonts w:ascii="Microsoft YaHei" w:hAnsi="Microsoft YaHei" w:eastAsia="Microsoft YaHei"/>
          <w:b/>
        </w:rPr>
        <w:t>声明式 FeatureSpec</w:t>
      </w:r>
      <w:r>
        <w:rPr>
          <w:rFonts w:ascii="Microsoft YaHei" w:hAnsi="Microsoft YaHei" w:eastAsia="Microsoft YaHei"/>
          <w:b w:val="0"/>
        </w:rPr>
        <w:t xml:space="preserve"> 描述（如 </w:t>
      </w:r>
      <w:r>
        <w:rPr>
          <w:rFonts w:ascii="Consolas" w:hAnsi="Consolas" w:eastAsia="Consolas"/>
          <w:b w:val="0"/>
        </w:rPr>
        <w:t>EMA(炉温, 5min)</w:t>
      </w:r>
      <w:r>
        <w:rPr>
          <w:rFonts w:ascii="Microsoft YaHei" w:hAnsi="Microsoft YaHei" w:eastAsia="Microsoft YaHei"/>
          <w:b w:val="0"/>
        </w:rPr>
        <w:t>、</w:t>
      </w:r>
      <w:r>
        <w:rPr>
          <w:rFonts w:ascii="Consolas" w:hAnsi="Consolas" w:eastAsia="Consolas"/>
          <w:b w:val="0"/>
        </w:rPr>
        <w:t>RollingStd(氯气流量, 10)</w:t>
      </w:r>
      <w:r>
        <w:rPr>
          <w:rFonts w:ascii="Microsoft YaHei" w:hAnsi="Microsoft YaHei" w:eastAsia="Microsoft YaHei"/>
          <w:b w:val="0"/>
        </w:rPr>
        <w:t>、</w:t>
      </w:r>
      <w:r>
        <w:rPr>
          <w:rFonts w:ascii="Consolas" w:hAnsi="Consolas" w:eastAsia="Consolas"/>
          <w:b w:val="0"/>
        </w:rPr>
        <w:t>RateOfChange(炉压)</w:t>
      </w:r>
      <w:r>
        <w:rPr>
          <w:rFonts w:ascii="Microsoft YaHei" w:hAnsi="Microsoft YaHei" w:eastAsia="Microsoft YaHei"/>
          <w:b w:val="0"/>
        </w:rPr>
        <w:t>），由工艺模板定义、框架解释执行——跨行业差异落在 FeatureSpec，不落代码。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超参包驱动</w:t>
      </w:r>
      <w:r>
        <w:rPr>
          <w:rFonts w:ascii="Microsoft YaHei" w:hAnsi="Microsoft YaHei" w:eastAsia="Microsoft YaHei"/>
          <w:b w:val="0"/>
        </w:rPr>
        <w:t>：所有可变量（输入特征清单、算法选型、超参、训练窗口、告警阈值、目标函数）外置为 JSON 超参包（见示例），同一框架切换模板仅改此包。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超参包 JSON 完整示例</w:t>
      </w:r>
      <w:r>
        <w:rPr>
          <w:rFonts w:ascii="Microsoft YaHei" w:hAnsi="Microsoft YaHei" w:eastAsia="Microsoft YaHei"/>
          <w:b w:val="0"/>
        </w:rPr>
        <w:t>：</w:t>
      </w:r>
    </w:p>
    <w:p>
      <w:pPr>
        <w:ind w:left="432"/>
        <w:shd w:val="clear" w:fill="F2F6F6"/>
      </w:pPr>
      <w:r>
        <w:rPr>
          <w:rFonts w:ascii="Consolas" w:hAnsi="Consolas" w:eastAsia="Consolas"/>
          <w:b w:val="0"/>
          <w:sz w:val="18"/>
        </w:rPr>
        <w:t xml:space="preserve"> {</w:t>
        <w:br/>
      </w:r>
      <w:r>
        <w:rPr>
          <w:rFonts w:ascii="Consolas" w:hAnsi="Consolas" w:eastAsia="Consolas"/>
          <w:b w:val="0"/>
          <w:sz w:val="18"/>
        </w:rPr>
        <w:t xml:space="preserve"> "model_id": "quality_predict_ti",</w:t>
        <w:br/>
      </w:r>
      <w:r>
        <w:rPr>
          <w:rFonts w:ascii="Consolas" w:hAnsi="Consolas" w:eastAsia="Consolas"/>
          <w:b w:val="0"/>
          <w:sz w:val="18"/>
        </w:rPr>
        <w:t xml:space="preserve"> "template": "iAOP-Template-Ti",</w:t>
        <w:br/>
      </w:r>
      <w:r>
        <w:rPr>
          <w:rFonts w:ascii="Consolas" w:hAnsi="Consolas" w:eastAsia="Consolas"/>
          <w:b w:val="0"/>
          <w:sz w:val="18"/>
        </w:rPr>
        <w:t xml:space="preserve"> "algorithm": "xgboost",</w:t>
        <w:br/>
      </w:r>
      <w:r>
        <w:rPr>
          <w:rFonts w:ascii="Consolas" w:hAnsi="Consolas" w:eastAsia="Consolas"/>
          <w:b w:val="0"/>
          <w:sz w:val="18"/>
        </w:rPr>
        <w:t xml:space="preserve"> "features": [</w:t>
        <w:br/>
      </w:r>
      <w:r>
        <w:rPr>
          <w:rFonts w:ascii="Consolas" w:hAnsi="Consolas" w:eastAsia="Consolas"/>
          <w:b w:val="0"/>
          <w:sz w:val="18"/>
        </w:rPr>
        <w:t xml:space="preserve"> {"name": "EMA_CLF_TEMP_5m", "spec": "EMA(CLF-01.TEMP, 5m)"},</w:t>
        <w:br/>
      </w:r>
      <w:r>
        <w:rPr>
          <w:rFonts w:ascii="Consolas" w:hAnsi="Consolas" w:eastAsia="Consolas"/>
          <w:b w:val="0"/>
          <w:sz w:val="18"/>
        </w:rPr>
        <w:t xml:space="preserve"> {"name": "RollingStd_CL2_10", "spec": "RollingStd(CLF-01.CL2, 10)"}</w:t>
        <w:br/>
      </w:r>
      <w:r>
        <w:rPr>
          <w:rFonts w:ascii="Consolas" w:hAnsi="Consolas" w:eastAsia="Consolas"/>
          <w:b w:val="0"/>
          <w:sz w:val="18"/>
        </w:rPr>
        <w:t xml:space="preserve"> ],</w:t>
        <w:br/>
      </w:r>
      <w:r>
        <w:rPr>
          <w:rFonts w:ascii="Consolas" w:hAnsi="Consolas" w:eastAsia="Consolas"/>
          <w:b w:val="0"/>
          <w:sz w:val="18"/>
        </w:rPr>
        <w:t xml:space="preserve"> "target": "Ti_purity",</w:t>
        <w:br/>
      </w:r>
      <w:r>
        <w:rPr>
          <w:rFonts w:ascii="Consolas" w:hAnsi="Consolas" w:eastAsia="Consolas"/>
          <w:b w:val="0"/>
          <w:sz w:val="18"/>
        </w:rPr>
        <w:t xml:space="preserve"> "objective": "reg:squarederror",</w:t>
        <w:br/>
      </w:r>
      <w:r>
        <w:rPr>
          <w:rFonts w:ascii="Consolas" w:hAnsi="Consolas" w:eastAsia="Consolas"/>
          <w:b w:val="0"/>
          <w:sz w:val="18"/>
        </w:rPr>
        <w:t xml:space="preserve"> "hyperparams": {"max_depth": 6, "eta": 0.1, "n_estimators": 300},</w:t>
        <w:br/>
      </w:r>
      <w:r>
        <w:rPr>
          <w:rFonts w:ascii="Consolas" w:hAnsi="Consolas" w:eastAsia="Consolas"/>
          <w:b w:val="0"/>
          <w:sz w:val="18"/>
        </w:rPr>
        <w:t xml:space="preserve"> "train_window": "180d",</w:t>
        <w:br/>
      </w:r>
      <w:r>
        <w:rPr>
          <w:rFonts w:ascii="Consolas" w:hAnsi="Consolas" w:eastAsia="Consolas"/>
          <w:b w:val="0"/>
          <w:sz w:val="18"/>
        </w:rPr>
        <w:t xml:space="preserve"> "alarm_threshold": {"type": "zscore", "k": 3.0},</w:t>
        <w:br/>
      </w:r>
      <w:r>
        <w:rPr>
          <w:rFonts w:ascii="Consolas" w:hAnsi="Consolas" w:eastAsia="Consolas"/>
          <w:b w:val="0"/>
          <w:sz w:val="18"/>
        </w:rPr>
        <w:t xml:space="preserve"> "drift_check": {"method": "psi", "limit": 0.2}</w:t>
        <w:br/>
      </w:r>
      <w:r>
        <w:rPr>
          <w:rFonts w:ascii="Consolas" w:hAnsi="Consolas" w:eastAsia="Consolas"/>
          <w:b w:val="0"/>
          <w:sz w:val="18"/>
        </w:rPr>
        <w:t xml:space="preserve"> }</w:t>
        <w:br/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配置点（模型超参包）</w:t>
      </w:r>
      <w:r>
        <w:rPr>
          <w:rFonts w:ascii="Microsoft YaHei" w:hAnsi="Microsoft YaHei" w:eastAsia="Microsoft YaHei"/>
          <w:b w:val="0"/>
        </w:rPr>
        <w:t>：输入特征清单、算法选型、超参、训练窗口、告警阈值、目标函数。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：行业工程师在配置台选模型类型 → 向导式填写 FeatureSpec 与超参（带默认值与校验）→ 框架按包训练/加载 → 模型运行回写预测/告警。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：同一框架切换行业模板后，仅改配置即可运行新模型；新增行业不新增模型代码。</w:t>
      </w:r>
    </w:p>
    <w:p>
      <w:pPr>
        <w:pStyle w:val="CustomHeading2"/>
      </w:pPr>
      <w:r>
        <w:t>5.4 ④ LLM 网关 + RAG（LLM Gateway）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：以自然语言连接人与系统，承载报警解释/交接班/问答/报告。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架构</w:t>
      </w:r>
      <w:r>
        <w:rPr>
          <w:rFonts w:ascii="Microsoft YaHei" w:hAnsi="Microsoft YaHei" w:eastAsia="Microsoft YaHei"/>
          <w:b w:val="0"/>
        </w:rPr>
        <w:t>：本地 70B（敏感/核心）+ 云端API（脱敏/通用）</w:t>
      </w:r>
      <w:r>
        <w:rPr>
          <w:rFonts w:ascii="Microsoft YaHei" w:hAnsi="Microsoft YaHei" w:eastAsia="Microsoft YaHei"/>
          <w:b/>
        </w:rPr>
        <w:t>混合</w:t>
      </w:r>
      <w:r>
        <w:rPr>
          <w:rFonts w:ascii="Microsoft YaHei" w:hAnsi="Microsoft YaHei" w:eastAsia="Microsoft YaHei"/>
          <w:b w:val="0"/>
        </w:rPr>
        <w:t>；安全分级路由（敏感度识别 → 路由）；向量库（领域RAG知识库）。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：报警智能解释、交接班报告生成、NL工艺查询、配方RAG问答、实验报告生成。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Prompt 版本管理 + 幻觉/事实性校验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Prompt 版本管理</w:t>
      </w:r>
      <w:r>
        <w:rPr>
          <w:rFonts w:ascii="Microsoft YaHei" w:hAnsi="Microsoft YaHei" w:eastAsia="Microsoft YaHei"/>
          <w:b w:val="0"/>
        </w:rPr>
        <w:t>：所有提示词模板纳入版本库（semver），变更须评审并记录，支持一键回滚；运行时绑定模板版本，确保可复现。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事实性校验</w:t>
      </w:r>
      <w:r>
        <w:rPr>
          <w:rFonts w:ascii="Microsoft YaHei" w:hAnsi="Microsoft YaHei" w:eastAsia="Microsoft YaHei"/>
          <w:b w:val="0"/>
        </w:rPr>
        <w:t>：RAG 答案强制</w:t>
      </w:r>
      <w:r>
        <w:rPr>
          <w:rFonts w:ascii="Microsoft YaHei" w:hAnsi="Microsoft YaHei" w:eastAsia="Microsoft YaHei"/>
          <w:b/>
        </w:rPr>
        <w:t>引用溯源</w:t>
      </w:r>
      <w:r>
        <w:rPr>
          <w:rFonts w:ascii="Microsoft YaHei" w:hAnsi="Microsoft YaHei" w:eastAsia="Microsoft YaHei"/>
          <w:b w:val="0"/>
        </w:rPr>
        <w:t>（返回命中文档片段+来源）；对高利害输出（如处置建议）设置信度阈值，低于阈值触发"人工确认"；定期用评测集检验事实一致性。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</w:t>
      </w:r>
      <w:r>
        <w:rPr>
          <w:rFonts w:ascii="Microsoft YaHei" w:hAnsi="Microsoft YaHei" w:eastAsia="Microsoft YaHei"/>
          <w:b w:val="0"/>
        </w:rPr>
        <w:t>：路由策略、知识库范围（由模板RAG库提供）、提示词模板（版本化）、敏感词/DLP规则。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：用户提问 → 路由判断敏感级 → 本地/云端生成 → RAG 溯源校验 → 返回带引用的答案；异常时转人工。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：路由准确率 ≥ 96.5%，DLP 拦截率 100%，本地首 token ≤ 1.5s。</w:t>
      </w:r>
    </w:p>
    <w:p>
      <w:pPr>
        <w:pStyle w:val="CustomHeading2"/>
      </w:pPr>
      <w:r>
        <w:t>5.5 ⑤ 配置化驾驶舱（Configurable Cockpit）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：把已交付 Vue3 驾驶舱抽象为模板化，按"驾驶舱布局"配置渲染。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：四状态工艺流程视图、实时趋势、KPI卡片、告警面板、NL查询入口、移动端适配。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布局 JSON Schema 定义</w:t>
      </w:r>
      <w:r>
        <w:rPr>
          <w:rFonts w:ascii="Microsoft YaHei" w:hAnsi="Microsoft YaHei" w:eastAsia="Microsoft YaHei"/>
          <w:b w:val="0"/>
        </w:rPr>
        <w:t>：</w:t>
      </w:r>
    </w:p>
    <w:p>
      <w:pPr>
        <w:ind w:left="432"/>
        <w:shd w:val="clear" w:fill="F2F6F6"/>
      </w:pPr>
      <w:r>
        <w:rPr>
          <w:rFonts w:ascii="Consolas" w:hAnsi="Consolas" w:eastAsia="Consolas"/>
          <w:b w:val="0"/>
          <w:sz w:val="18"/>
        </w:rPr>
        <w:t xml:space="preserve"> {</w:t>
        <w:br/>
      </w:r>
      <w:r>
        <w:rPr>
          <w:rFonts w:ascii="Consolas" w:hAnsi="Consolas" w:eastAsia="Consolas"/>
          <w:b w:val="0"/>
          <w:sz w:val="18"/>
        </w:rPr>
        <w:t xml:space="preserve"> "$schema": "iAOP-cockpit-layout-v1",</w:t>
        <w:br/>
      </w:r>
      <w:r>
        <w:rPr>
          <w:rFonts w:ascii="Consolas" w:hAnsi="Consolas" w:eastAsia="Consolas"/>
          <w:b w:val="0"/>
          <w:sz w:val="18"/>
        </w:rPr>
        <w:t xml:space="preserve"> "title": "氯化车间驾驶舱",</w:t>
        <w:br/>
      </w:r>
      <w:r>
        <w:rPr>
          <w:rFonts w:ascii="Consolas" w:hAnsi="Consolas" w:eastAsia="Consolas"/>
          <w:b w:val="0"/>
          <w:sz w:val="18"/>
        </w:rPr>
        <w:t xml:space="preserve"> "theme": "dark",</w:t>
        <w:br/>
      </w:r>
      <w:r>
        <w:rPr>
          <w:rFonts w:ascii="Consolas" w:hAnsi="Consolas" w:eastAsia="Consolas"/>
          <w:b w:val="0"/>
          <w:sz w:val="18"/>
        </w:rPr>
        <w:t xml:space="preserve"> "widgets": [</w:t>
        <w:br/>
      </w:r>
      <w:r>
        <w:rPr>
          <w:rFonts w:ascii="Consolas" w:hAnsi="Consolas" w:eastAsia="Consolas"/>
          <w:b w:val="0"/>
          <w:sz w:val="18"/>
        </w:rPr>
        <w:t xml:space="preserve"> {"type": "process_view", "src": "ti_four_state.svg", "x":0,"y":0,"w":6,"h":4},</w:t>
        <w:br/>
      </w:r>
      <w:r>
        <w:rPr>
          <w:rFonts w:ascii="Consolas" w:hAnsi="Consolas" w:eastAsia="Consolas"/>
          <w:b w:val="0"/>
          <w:sz w:val="18"/>
        </w:rPr>
        <w:t xml:space="preserve"> {"type": "trend", "bind": "CLF-01.TEMP", "x":6,"y":0,"w":6,"h":2},</w:t>
        <w:br/>
      </w:r>
      <w:r>
        <w:rPr>
          <w:rFonts w:ascii="Consolas" w:hAnsi="Consolas" w:eastAsia="Consolas"/>
          <w:b w:val="0"/>
          <w:sz w:val="18"/>
        </w:rPr>
        <w:t xml:space="preserve"> {"type": "kpi_card", "metric": "Ti_purity", "x":6,"y":2,"w":3,"h":2},</w:t>
        <w:br/>
      </w:r>
      <w:r>
        <w:rPr>
          <w:rFonts w:ascii="Consolas" w:hAnsi="Consolas" w:eastAsia="Consolas"/>
          <w:b w:val="0"/>
          <w:sz w:val="18"/>
        </w:rPr>
        <w:t xml:space="preserve"> {"type": "alarm_panel", "x":0,"y":4,"w":12,"h":3}</w:t>
        <w:br/>
      </w:r>
      <w:r>
        <w:rPr>
          <w:rFonts w:ascii="Consolas" w:hAnsi="Consolas" w:eastAsia="Consolas"/>
          <w:b w:val="0"/>
          <w:sz w:val="18"/>
        </w:rPr>
        <w:t xml:space="preserve"> ]</w:t>
        <w:br/>
      </w:r>
      <w:r>
        <w:rPr>
          <w:rFonts w:ascii="Consolas" w:hAnsi="Consolas" w:eastAsia="Consolas"/>
          <w:b w:val="0"/>
          <w:sz w:val="18"/>
        </w:rPr>
        <w:t xml:space="preserve"> }</w:t>
        <w:br/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复杂仪表盘性能</w:t>
      </w:r>
      <w:r>
        <w:rPr>
          <w:rFonts w:ascii="Microsoft YaHei" w:hAnsi="Microsoft YaHei" w:eastAsia="Microsoft YaHei"/>
          <w:b w:val="0"/>
        </w:rPr>
        <w:t>：组件 ≥ 30 个或数据点 ≥ 500 时启用</w:t>
      </w:r>
      <w:r>
        <w:rPr>
          <w:rFonts w:ascii="Microsoft YaHei" w:hAnsi="Microsoft YaHei" w:eastAsia="Microsoft YaHei"/>
          <w:b/>
        </w:rPr>
        <w:t>虚拟滚动 + 采样降频 + WebWorker 计算</w:t>
      </w:r>
      <w:r>
        <w:rPr>
          <w:rFonts w:ascii="Microsoft YaHei" w:hAnsi="Microsoft YaHei" w:eastAsia="Microsoft YaHei"/>
          <w:b w:val="0"/>
        </w:rPr>
        <w:t>，保证首屏 ≤ 2s、交互帧率 ≥ 30fps。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</w:t>
      </w:r>
      <w:r>
        <w:rPr>
          <w:rFonts w:ascii="Microsoft YaHei" w:hAnsi="Microsoft YaHei" w:eastAsia="Microsoft YaHei"/>
          <w:b w:val="0"/>
        </w:rPr>
        <w:t>：布局JSON（组件/位置/数据源绑定）、KPI定义、流程图SVG、主题。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：实施在配置台拖拽组件 → 绑定数据源（选点位/指标）→ 预览 → 发布至 Web/移动端。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：切换行业模板后，驾驶舱按布局配置自动重排，无需改前端代码。</w:t>
      </w:r>
    </w:p>
    <w:p>
      <w:pPr>
        <w:pStyle w:val="CustomHeading2"/>
      </w:pPr>
      <w:r>
        <w:t>5.6 ⑥ 部署底座（Deployment Base）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：标准化、可移植的交付与运维。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：K8s/Helm/ArgoCD；GPU/NPU 推理后端可插拔（5090 / 华为昇腾）。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昇腾适配层接口抽象</w:t>
      </w:r>
      <w:r>
        <w:rPr>
          <w:rFonts w:ascii="Microsoft YaHei" w:hAnsi="Microsoft YaHei" w:eastAsia="Microsoft YaHei"/>
          <w:b w:val="0"/>
        </w:rPr>
        <w:t xml:space="preserve">：定义统一 </w:t>
      </w:r>
      <w:r>
        <w:rPr>
          <w:rFonts w:ascii="Consolas" w:hAnsi="Consolas" w:eastAsia="Consolas"/>
          <w:b w:val="0"/>
        </w:rPr>
        <w:t>InferenceBackend</w:t>
      </w:r>
      <w:r>
        <w:rPr>
          <w:rFonts w:ascii="Microsoft YaHei" w:hAnsi="Microsoft YaHei" w:eastAsia="Microsoft YaHei"/>
          <w:b w:val="0"/>
        </w:rPr>
        <w:t xml:space="preserve"> 接口（</w:t>
      </w:r>
      <w:r>
        <w:rPr>
          <w:rFonts w:ascii="Consolas" w:hAnsi="Consolas" w:eastAsia="Consolas"/>
          <w:b w:val="0"/>
        </w:rPr>
        <w:t>loadModel / infer / health / unload</w:t>
      </w:r>
      <w:r>
        <w:rPr>
          <w:rFonts w:ascii="Microsoft YaHei" w:hAnsi="Microsoft YaHei" w:eastAsia="Microsoft YaHei"/>
          <w:b w:val="0"/>
        </w:rPr>
        <w:t>），5090 实现（Triton/ONNX）与昇腾实现（ACL/CANN）均实现该接口；</w:t>
      </w:r>
      <w:r>
        <w:rPr>
          <w:rFonts w:ascii="Microsoft YaHei" w:hAnsi="Microsoft YaHei" w:eastAsia="Microsoft YaHei"/>
          <w:b/>
        </w:rPr>
        <w:t>业务代码仅依赖接口，不感知硬件</w:t>
      </w:r>
      <w:r>
        <w:rPr>
          <w:rFonts w:ascii="Microsoft YaHei" w:hAnsi="Microsoft YaHei" w:eastAsia="Microsoft YaHei"/>
          <w:b w:val="0"/>
        </w:rPr>
        <w:t>；切换后端 = 改适配层配置，不动业务代码。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配置点</w:t>
      </w:r>
      <w:r>
        <w:rPr>
          <w:rFonts w:ascii="Microsoft YaHei" w:hAnsi="Microsoft YaHei" w:eastAsia="Microsoft YaHei"/>
          <w:b w:val="0"/>
        </w:rPr>
        <w:t>：资源配额、推理后端选择、灰度发布策略。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：运维选择后端（5090/昇腾）→ Helm 一键部署内核+模板 → ArgoCD 灰度发布 → 健康巡检。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：内核 + 模板一键 Helm 部署；昇腾后端切换仅需适配层，不改业务代码。</w:t>
      </w:r>
    </w:p>
    <w:p>
      <w:pPr>
        <w:pStyle w:val="CustomHeading2"/>
      </w:pPr>
      <w:r>
        <w:t>5.7 ★ 模板配置台（Template Console，新增）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目的</w:t>
      </w:r>
      <w:r>
        <w:rPr>
          <w:rFonts w:ascii="Microsoft YaHei" w:hAnsi="Microsoft YaHei" w:eastAsia="Microsoft YaHei"/>
          <w:b w:val="0"/>
        </w:rPr>
        <w:t>：让实施/行业工程师通过 UI 完成模板全生命周期管理，是"项目变产品"的关键。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能力</w:t>
      </w:r>
      <w:r>
        <w:rPr>
          <w:rFonts w:ascii="Microsoft YaHei" w:hAnsi="Microsoft YaHei" w:eastAsia="Microsoft YaHei"/>
          <w:b w:val="0"/>
        </w:rPr>
        <w:t>：导入点位字典CSV并校验；配置 4 类模型超参（向导式，带默认值与校验）；上传/管理领域RAG知识库（文档抽取管线）；编排驾驶舱布局（拖拽组件、绑定数据源）；模板版本管理、校验、发布、回滚。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核心操作流程</w:t>
      </w:r>
      <w:r>
        <w:rPr>
          <w:rFonts w:ascii="Microsoft YaHei" w:hAnsi="Microsoft YaHei" w:eastAsia="Microsoft YaHei"/>
          <w:b w:val="0"/>
        </w:rPr>
        <w:t>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496094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conso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9609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关键页面线框描述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*导入页*：上传区 + 校验进度条 + 错误列表（行号+原因），支持"下载错误模板"。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*超参配置页*：左树（4类模型）/ 右表单（带默认值、单位、范围提示），实时 JSON 预览。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*驾驶舱编排页*：左侧组件库 / 中间画布拖拽 / 右侧数据源绑定面板。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*版本页*：版本列表（状态/时间/作者）、diff 视图、回滚按钮。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权限模型</w:t>
      </w:r>
      <w:r>
        <w:rPr>
          <w:rFonts w:ascii="Microsoft YaHei" w:hAnsi="Microsoft YaHei" w:eastAsia="Microsoft YaHei"/>
          <w:b w:val="0"/>
        </w:rPr>
        <w:t>：Viewer（只读预览）/ Editor（配置）/ Publisher（发布+回滚）三级 RBAC。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耦合边界</w:t>
      </w:r>
      <w:r>
        <w:rPr>
          <w:rFonts w:ascii="Microsoft YaHei" w:hAnsi="Microsoft YaHei" w:eastAsia="Microsoft YaHei"/>
          <w:b w:val="0"/>
        </w:rPr>
        <w:t>：配置台只产出"模板资产包"，不直接改内核运行时；发布经校验与灰度，避免配置错误影响生产。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用户操作流程</w:t>
      </w:r>
      <w:r>
        <w:rPr>
          <w:rFonts w:ascii="Microsoft YaHei" w:hAnsi="Microsoft YaHei" w:eastAsia="Microsoft YaHei"/>
          <w:b w:val="0"/>
        </w:rPr>
        <w:t>：见上图；实施按"模板开发手册"操作。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</w:t>
      </w:r>
      <w:r>
        <w:rPr>
          <w:rFonts w:ascii="Microsoft YaHei" w:hAnsi="Microsoft YaHei" w:eastAsia="Microsoft YaHei"/>
          <w:b w:val="0"/>
        </w:rPr>
        <w:t>：一个新人按"模板开发手册"可在 2–4 周内完成一个新行业模板配置（"完成"定义见第 10 章）。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6. 行业模板机制（核心创新点）</w:t>
      </w:r>
    </w:p>
    <w:p>
      <w:r>
        <w:rPr>
          <w:rFonts w:ascii="Microsoft YaHei" w:hAnsi="Microsoft YaHei" w:eastAsia="Microsoft YaHei"/>
          <w:b/>
        </w:rPr>
        <w:t>一个行业模板 = 5 类可交付物，决定 ~90% 落地工作量。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模板组成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内容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来源</w:t>
            </w:r>
          </w:p>
        </w:tc>
        <w:tc>
          <w:tcPr>
            <w:tcW w:type="dxa" w:w="2329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在配置台的动作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点位字典 CSV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车间/设备/测点/量纲/采集周期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客户DCS点表 + 工具生成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导入校验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领域RAG知识库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工艺规范/操作手册/文献/标准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客户文档 + 抽取管线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上传/索引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工艺模板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连续/间歇、特征工程、标签定义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行业工程师 + 模板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配置窗口/特征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模型超参包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4类模型输入特征/超参/阈值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基于历史数据标定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向导配置</w:t>
            </w:r>
          </w:p>
        </w:tc>
      </w:tr>
      <w:tr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驾驶舱布局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KPI/趋势/流程图/告警样式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可复用基线 + 微调</w:t>
            </w:r>
          </w:p>
        </w:tc>
        <w:tc>
          <w:tcPr>
            <w:tcW w:type="dxa" w:w="2329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拖拽编排</w:t>
            </w:r>
          </w:p>
        </w:tc>
      </w:tr>
    </w:tbl>
    <w:p>
      <w:pPr>
        <w:spacing w:after="40"/>
      </w:pPr>
    </w:p>
    <w:p>
      <w:r>
        <w:rPr>
          <w:rFonts w:ascii="Microsoft YaHei" w:hAnsi="Microsoft YaHei" w:eastAsia="Microsoft YaHei"/>
          <w:b/>
        </w:rPr>
        <w:t>5 类交付物详细说明与示例片段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点位字典 CSV</w:t>
      </w:r>
      <w:r>
        <w:rPr>
          <w:rFonts w:ascii="Microsoft YaHei" w:hAnsi="Microsoft YaHei" w:eastAsia="Microsoft YaHei"/>
          <w:b w:val="0"/>
        </w:rPr>
        <w:t>：见 5.1 字段规范；示例行：</w:t>
      </w:r>
      <w:r>
        <w:rPr>
          <w:rFonts w:ascii="Consolas" w:hAnsi="Consolas" w:eastAsia="Consolas"/>
          <w:b w:val="0"/>
        </w:rPr>
        <w:t>CLF-01, CLF-01.TEMP, 炉温, ℃, float, 1000, true, ns=2;s=CLF.Temp</w:t>
      </w:r>
      <w:r>
        <w:rPr>
          <w:rFonts w:ascii="Microsoft YaHei" w:hAnsi="Microsoft YaHei" w:eastAsia="Microsoft YaHei"/>
          <w:b w:val="0"/>
        </w:rPr>
        <w:t>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领域 RAG 知识库</w:t>
      </w:r>
      <w:r>
        <w:rPr>
          <w:rFonts w:ascii="Microsoft YaHei" w:hAnsi="Microsoft YaHei" w:eastAsia="Microsoft YaHei"/>
          <w:b w:val="0"/>
        </w:rPr>
        <w:t>：示例片段——文档《沸腾氯化炉异常处置SOP》抽取为段落向量，支持"炉温骤升怎么处理？"检索命中第3.2节并引用。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工艺模板</w:t>
      </w:r>
      <w:r>
        <w:rPr>
          <w:rFonts w:ascii="Microsoft YaHei" w:hAnsi="Microsoft YaHei" w:eastAsia="Microsoft YaHei"/>
          <w:b w:val="0"/>
        </w:rPr>
        <w:t xml:space="preserve">：示例 </w:t>
      </w:r>
      <w:r>
        <w:rPr>
          <w:rFonts w:ascii="Consolas" w:hAnsi="Consolas" w:eastAsia="Consolas"/>
          <w:b w:val="0"/>
        </w:rPr>
        <w:t>{processType:"continuous", featureWindow:"shift", qualityTag:"LIMS.Ti_purity", batchKey:"batch_id"}</w:t>
      </w:r>
      <w:r>
        <w:rPr>
          <w:rFonts w:ascii="Microsoft YaHei" w:hAnsi="Microsoft YaHei" w:eastAsia="Microsoft YaHei"/>
          <w:b w:val="0"/>
        </w:rPr>
        <w:t>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模型超参包</w:t>
      </w:r>
      <w:r>
        <w:rPr>
          <w:rFonts w:ascii="Microsoft YaHei" w:hAnsi="Microsoft YaHei" w:eastAsia="Microsoft YaHei"/>
          <w:b w:val="0"/>
        </w:rPr>
        <w:t>：见 5.3 JSON 示例。</w:t>
      </w:r>
    </w:p>
    <w:p>
      <w:pPr>
        <w:pStyle w:val="ListNumber"/>
      </w:pPr>
      <w:r>
        <w:rPr>
          <w:rFonts w:ascii="Microsoft YaHei" w:hAnsi="Microsoft YaHei" w:eastAsia="Microsoft YaHei"/>
          <w:b/>
        </w:rPr>
        <w:t>驾驶舱布局</w:t>
      </w:r>
      <w:r>
        <w:rPr>
          <w:rFonts w:ascii="Microsoft YaHei" w:hAnsi="Microsoft YaHei" w:eastAsia="Microsoft YaHei"/>
          <w:b w:val="0"/>
        </w:rPr>
        <w:t>：见 5.5 JSON Schema 示例。</w:t>
      </w:r>
    </w:p>
    <w:p>
      <w:r>
        <w:rPr>
          <w:rFonts w:ascii="Microsoft YaHei" w:hAnsi="Microsoft YaHei" w:eastAsia="Microsoft YaHei"/>
          <w:b/>
        </w:rPr>
        <w:t>价值</w:t>
      </w:r>
      <w:r>
        <w:rPr>
          <w:rFonts w:ascii="Microsoft YaHei" w:hAnsi="Microsoft YaHei" w:eastAsia="Microsoft YaHei"/>
          <w:b w:val="0"/>
        </w:rPr>
        <w:t>：内核一次建设，新行业 = "配置 + 数据接入 + 模型标定"，预计第 2、3 个行业交付周期较首厂压缩 50%+。</w:t>
      </w:r>
    </w:p>
    <w:p>
      <w:r>
        <w:rPr>
          <w:rFonts w:ascii="Microsoft YaHei" w:hAnsi="Microsoft YaHei" w:eastAsia="Microsoft YaHei"/>
          <w:b/>
        </w:rPr>
        <w:t>效率提升测算逻辑（P2，回应"50% 来源"质疑）</w:t>
      </w:r>
      <w:r>
        <w:rPr>
          <w:rFonts w:ascii="Microsoft YaHei" w:hAnsi="Microsoft YaHei" w:eastAsia="Microsoft YaHei"/>
          <w:b w:val="0"/>
        </w:rPr>
        <w:t>：以树脂首厂 76 任务为基线拆解——其中"采集接入(8)/模型标定(14)/驾驶舱(10)/部署(6)/知识库(5)"共 43 项（≈57%）属</w:t>
      </w:r>
      <w:r>
        <w:rPr>
          <w:rFonts w:ascii="Microsoft YaHei" w:hAnsi="Microsoft YaHei" w:eastAsia="Microsoft YaHei"/>
          <w:b/>
        </w:rPr>
        <w:t>配置驱动可复用层</w:t>
      </w:r>
      <w:r>
        <w:rPr>
          <w:rFonts w:ascii="Microsoft YaHei" w:hAnsi="Microsoft YaHei" w:eastAsia="Microsoft YaHei"/>
          <w:b w:val="0"/>
        </w:rPr>
        <w:t xml:space="preserve">，新行业经模板化后近乎零重做；"核心算法(9)/跨系统集成(7)/定制开发(6)"共 22 项（≈29%）需轻量调整；仅"现场差异适配(11)"（≈14%）需专项实施。新行业有效工作量 ≈ 43%（模板复用）+ 部分调整，叠加并行化，故周期压缩 </w:t>
      </w:r>
      <w:r>
        <w:rPr>
          <w:rFonts w:ascii="Microsoft YaHei" w:hAnsi="Microsoft YaHei" w:eastAsia="Microsoft YaHei"/>
          <w:b/>
        </w:rPr>
        <w:t>50%+</w:t>
      </w:r>
      <w:r>
        <w:rPr>
          <w:rFonts w:ascii="Microsoft YaHei" w:hAnsi="Microsoft YaHei" w:eastAsia="Microsoft YaHei"/>
          <w:b w:val="0"/>
        </w:rPr>
        <w:t>；"~90% 落地工作量由模板决定"指配置驱动层占首厂总工作量约 90%（含实施与标定），而非指新行业零工作量。测算方法见附录 A。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7. 首模板详细设计：iAOP-Template-Ti（氯化车间/海绵钛，一期）</w:t>
      </w:r>
    </w:p>
    <w:p>
      <w:pPr>
        <w:pStyle w:val="CustomHeading2"/>
      </w:pPr>
      <w:r>
        <w:t>7.1 范围与映射</w:t>
      </w:r>
    </w:p>
    <w:p>
      <w:r>
        <w:rPr>
          <w:rFonts w:ascii="Microsoft YaHei" w:hAnsi="Microsoft YaHei" w:eastAsia="Microsoft YaHei"/>
          <w:b w:val="0"/>
        </w:rPr>
        <w:t xml:space="preserve">氯化车间 4 个智能体 </w:t>
      </w:r>
      <w:r>
        <w:rPr>
          <w:rFonts w:ascii="Microsoft YaHei" w:hAnsi="Microsoft YaHei" w:eastAsia="Microsoft YaHei"/>
          <w:b/>
        </w:rPr>
        <w:t>直接映射</w:t>
      </w:r>
      <w:r>
        <w:rPr>
          <w:rFonts w:ascii="Microsoft YaHei" w:hAnsi="Microsoft YaHei" w:eastAsia="Microsoft YaHei"/>
          <w:b w:val="0"/>
        </w:rPr>
        <w:t xml:space="preserve"> 内核 4 类模型 + LLM 网关，</w:t>
      </w:r>
      <w:r>
        <w:rPr>
          <w:rFonts w:ascii="Microsoft YaHei" w:hAnsi="Microsoft YaHei" w:eastAsia="Microsoft YaHei"/>
          <w:b/>
        </w:rPr>
        <w:t>无新算法研发</w:t>
      </w:r>
      <w:r>
        <w:rPr>
          <w:rFonts w:ascii="Microsoft YaHei" w:hAnsi="Microsoft YaHei" w:eastAsia="Microsoft YaHei"/>
          <w:b w:val="0"/>
        </w:rPr>
        <w:t>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氯化智能体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内核模型/能力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一期优先级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① 质量预测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质量预测模板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一期（优先，见效快）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③ 炉层杂质预警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异常检测模板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一期（优先，数据门槛低）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② 配方动态优化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工艺优化模板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二期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④ TiCl₄→海绵钛寻优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跨工序关联模板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二期</w:t>
            </w:r>
          </w:p>
        </w:tc>
      </w:tr>
    </w:tbl>
    <w:p>
      <w:pPr>
        <w:spacing w:after="40"/>
      </w:pPr>
    </w:p>
    <w:p>
      <w:pPr>
        <w:pStyle w:val="CustomHeading2"/>
      </w:pPr>
      <w:r>
        <w:t>7.2 点位字典范围（一期）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沸腾氯化炉：炉温、炉压、氯气流量、CO/CO₂、炉层状态。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精制/还原工序：TiCl₄ 纯度、杂质含量、还原温度、真空度。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能源/公用工程：电、蒸汽、循环水。</w:t>
      </w:r>
    </w:p>
    <w:p>
      <w:r>
        <w:rPr>
          <w:rFonts w:ascii="Microsoft YaHei" w:hAnsi="Microsoft YaHei" w:eastAsia="Microsoft YaHei"/>
          <w:b w:val="0"/>
        </w:rPr>
        <w:t>（具体点表待客户 DCS 点表导入后由配置台校验，缺省策略见 13 章。）</w:t>
      </w:r>
    </w:p>
    <w:p>
      <w:pPr>
        <w:pStyle w:val="CustomHeading2"/>
      </w:pPr>
      <w:r>
        <w:t>7.3 领域RAG知识库（一期）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沸腾氯化工艺规范、操作手册、异常处置 SOP、氯/钛相关国标、历史事故案例。</w:t>
      </w:r>
    </w:p>
    <w:p>
      <w:pPr>
        <w:pStyle w:val="CustomHeading2"/>
      </w:pPr>
      <w:r>
        <w:t>7.4 工艺模板（一期）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连续炉式工艺；特征窗口按班/批次；质量标签对接 LIMS/人工录入。</w:t>
      </w:r>
    </w:p>
    <w:p>
      <w:pPr>
        <w:pStyle w:val="CustomHeading2"/>
      </w:pPr>
      <w:r>
        <w:t>7.5 驾驶舱布局（一期）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沸腾氯化炉四状态工艺流程视图、炉温/炉压实时趋势、炉层杂质告警面板、质量预测卡片、NL查询入口、移动端交接班摘要。</w:t>
      </w:r>
    </w:p>
    <w:p>
      <w:pPr>
        <w:pStyle w:val="CustomHeading2"/>
      </w:pPr>
      <w:r>
        <w:t>7.6 见效策略（降首期风险）</w:t>
      </w:r>
    </w:p>
    <w:p>
      <w:r>
        <w:rPr>
          <w:rFonts w:ascii="Microsoft YaHei" w:hAnsi="Microsoft YaHei" w:eastAsia="Microsoft YaHei"/>
          <w:b w:val="0"/>
        </w:rPr>
        <w:t>一期优先交付 ①质量预测 + ③炉层杂质预警（监控+预警类，数据门槛低、见效快），②配方优化 + ④跨工序寻优放二期，避免首期因标注数据不足卡顿。</w:t>
      </w:r>
    </w:p>
    <w:p>
      <w:pPr>
        <w:pStyle w:val="CustomHeading2"/>
      </w:pPr>
      <w:r>
        <w:t>7.7 一期交付物清单与验收节点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功能项</w:t>
      </w:r>
      <w:r>
        <w:rPr>
          <w:rFonts w:ascii="Microsoft YaHei" w:hAnsi="Microsoft YaHei" w:eastAsia="Microsoft YaHei"/>
          <w:b w:val="0"/>
        </w:rPr>
        <w:t>：①质量预测模型（≥90% 准确率验收线）、③炉层杂质预警（提前≥30min）、LLM 报警解释/交接班/ NL查询。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数据接入范围</w:t>
      </w:r>
      <w:r>
        <w:rPr>
          <w:rFonts w:ascii="Microsoft YaHei" w:hAnsi="Microsoft YaHei" w:eastAsia="Microsoft YaHei"/>
          <w:b w:val="0"/>
        </w:rPr>
        <w:t>：沸腾氯化炉 + 精制还原关键测点（≤200 点首期）。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模型训练数据量要求</w:t>
      </w:r>
      <w:r>
        <w:rPr>
          <w:rFonts w:ascii="Microsoft YaHei" w:hAnsi="Microsoft YaHei" w:eastAsia="Microsoft YaHei"/>
          <w:b w:val="0"/>
        </w:rPr>
        <w:t>：质量预测需 ≥ 6 个月标注（LIMS 对接后补标）；预警类可先以阈值+无监督上线，3 个月后转监督。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验收节点</w:t>
      </w:r>
      <w:r>
        <w:rPr>
          <w:rFonts w:ascii="Microsoft YaHei" w:hAnsi="Microsoft YaHei" w:eastAsia="Microsoft YaHei"/>
          <w:b w:val="0"/>
        </w:rPr>
        <w:t>：M4 集成测试（内部）→ M5 客户 UAT → 上线 → 1 个月质保观察。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8. 数据模型与接口概要</w:t>
      </w:r>
    </w:p>
    <w:p>
      <w:pPr>
        <w:pStyle w:val="CustomHeading2"/>
      </w:pPr>
      <w:r>
        <w:t>8.1 核心数据实体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实体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关键字段（类型/约束）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关系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Device/Point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id:string(PK), device:string, unit:enum, sampleRate:int&gt;0, qualityCode:bool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属于 Template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Tag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id:string(PK), dims:json(设备/测点/批次/质量)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多对多绑定 Point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ModelRun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id:uuid(PK), templateId:string(FK), type:enum, input:json, output:json, ts:datetime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属于 Template，引用 Point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Alert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id:uuid(PK), source:string, severity:enum(低/中/高), llmExplain:text, status:enum(待处理/已确认/已闭环)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由 ModelRun 产生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Template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id:string(PK), fiveElements:json, version:semver, status:enum(草稿/发布/归档)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含 5 要素引用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307564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075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ustomHeading2"/>
      </w:pPr>
      <w:r>
        <w:t>8.2 接口详细设计</w:t>
      </w:r>
    </w:p>
    <w:p>
      <w:r>
        <w:rPr>
          <w:rFonts w:ascii="Microsoft YaHei" w:hAnsi="Microsoft YaHei" w:eastAsia="Microsoft YaHei"/>
          <w:b/>
        </w:rPr>
        <w:t>认证鉴权</w:t>
      </w:r>
      <w:r>
        <w:rPr>
          <w:rFonts w:ascii="Microsoft YaHei" w:hAnsi="Microsoft YaHei" w:eastAsia="Microsoft YaHei"/>
          <w:b w:val="0"/>
        </w:rPr>
        <w:t xml:space="preserve">：① 服务间 mTLS（边缘网关↔总线）；② 配置台 ↔ 内核 用 </w:t>
      </w:r>
      <w:r>
        <w:rPr>
          <w:rFonts w:ascii="Microsoft YaHei" w:hAnsi="Microsoft YaHei" w:eastAsia="Microsoft YaHei"/>
          <w:b/>
        </w:rPr>
        <w:t>OAuth2 Client Credentials</w:t>
      </w:r>
      <w:r>
        <w:rPr>
          <w:rFonts w:ascii="Microsoft YaHei" w:hAnsi="Microsoft YaHei" w:eastAsia="Microsoft YaHei"/>
          <w:b w:val="0"/>
        </w:rPr>
        <w:t xml:space="preserve"> + </w:t>
      </w:r>
      <w:r>
        <w:rPr>
          <w:rFonts w:ascii="Microsoft YaHei" w:hAnsi="Microsoft YaHei" w:eastAsia="Microsoft YaHei"/>
          <w:b/>
        </w:rPr>
        <w:t>API Key</w:t>
      </w:r>
      <w:r>
        <w:rPr>
          <w:rFonts w:ascii="Microsoft YaHei" w:hAnsi="Microsoft YaHei" w:eastAsia="Microsoft YaHei"/>
          <w:b w:val="0"/>
        </w:rPr>
        <w:t xml:space="preserve"> 双因子；③ 前端用户登录走企业 IAM/OAuth2（支持 SSO），RBAC 三级（Viewer/Editor/Publisher）；④ 所有写操作审计落日志。</w:t>
      </w:r>
    </w:p>
    <w:p>
      <w:r>
        <w:rPr>
          <w:rFonts w:ascii="Microsoft YaHei" w:hAnsi="Microsoft YaHei" w:eastAsia="Microsoft YaHei"/>
          <w:b/>
        </w:rPr>
        <w:t>核心 API 简述（Swagger 风格）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Consolas" w:hAnsi="Consolas" w:eastAsia="Consolas"/>
          <w:b w:val="0"/>
        </w:rPr>
        <w:t>POST /api/v1/templates</w:t>
      </w:r>
      <w:r>
        <w:rPr>
          <w:rFonts w:ascii="Microsoft YaHei" w:hAnsi="Microsoft YaHei" w:eastAsia="Microsoft YaHei"/>
          <w:b w:val="0"/>
        </w:rPr>
        <w:t xml:space="preserve"> — 创建模板（body: 5 要素引用）；返回 templateId。</w:t>
      </w:r>
      <w:r>
        <w:rPr>
          <w:rFonts w:ascii="Microsoft YaHei" w:hAnsi="Microsoft YaHei" w:eastAsia="Microsoft YaHei"/>
          <w:b/>
        </w:rPr>
        <w:t>错误码</w:t>
      </w:r>
      <w:r>
        <w:rPr>
          <w:rFonts w:ascii="Microsoft YaHei" w:hAnsi="Microsoft YaHei" w:eastAsia="Microsoft YaHei"/>
          <w:b w:val="0"/>
        </w:rPr>
        <w:t>：401 未授权 / 403 无发布权限 / 422 校验失败。</w:t>
      </w:r>
    </w:p>
    <w:p>
      <w:pPr>
        <w:pStyle w:val="ListBullet"/>
      </w:pPr>
      <w:r>
        <w:rPr>
          <w:rFonts w:ascii="Consolas" w:hAnsi="Consolas" w:eastAsia="Consolas"/>
          <w:b w:val="0"/>
        </w:rPr>
        <w:t>GET /api/v1/templates/{id}/validate</w:t>
      </w:r>
      <w:r>
        <w:rPr>
          <w:rFonts w:ascii="Microsoft YaHei" w:hAnsi="Microsoft YaHei" w:eastAsia="Microsoft YaHei"/>
          <w:b w:val="0"/>
        </w:rPr>
        <w:t xml:space="preserve"> — 校验模板（点位字典/超参/布局）；返回校验报告。</w:t>
      </w:r>
    </w:p>
    <w:p>
      <w:pPr>
        <w:pStyle w:val="ListBullet"/>
      </w:pPr>
      <w:r>
        <w:rPr>
          <w:rFonts w:ascii="Consolas" w:hAnsi="Consolas" w:eastAsia="Consolas"/>
          <w:b w:val="0"/>
        </w:rPr>
        <w:t>POST /api/v1/models/{templateId}/run</w:t>
      </w:r>
      <w:r>
        <w:rPr>
          <w:rFonts w:ascii="Microsoft YaHei" w:hAnsi="Microsoft YaHei" w:eastAsia="Microsoft YaHei"/>
          <w:b w:val="0"/>
        </w:rPr>
        <w:t xml:space="preserve"> — 触发模型运行（body: 输入特征快照）；返回 ModelRun。</w:t>
      </w:r>
    </w:p>
    <w:p>
      <w:pPr>
        <w:pStyle w:val="ListBullet"/>
      </w:pPr>
      <w:r>
        <w:rPr>
          <w:rFonts w:ascii="Consolas" w:hAnsi="Consolas" w:eastAsia="Consolas"/>
          <w:b w:val="0"/>
        </w:rPr>
        <w:t>GET /api/v1/alerts?severity=&amp;status=</w:t>
      </w:r>
      <w:r>
        <w:rPr>
          <w:rFonts w:ascii="Microsoft YaHei" w:hAnsi="Microsoft YaHei" w:eastAsia="Microsoft YaHei"/>
          <w:b w:val="0"/>
        </w:rPr>
        <w:t xml:space="preserve"> — 告警查询（分页）；返回 Alert 列表含 llmExplain。</w:t>
      </w:r>
    </w:p>
    <w:p>
      <w:pPr>
        <w:pStyle w:val="ListBullet"/>
      </w:pPr>
      <w:r>
        <w:rPr>
          <w:rFonts w:ascii="Consolas" w:hAnsi="Consolas" w:eastAsia="Consolas"/>
          <w:b w:val="0"/>
        </w:rPr>
        <w:t>POST /api/v1/llm/ask</w:t>
      </w:r>
      <w:r>
        <w:rPr>
          <w:rFonts w:ascii="Microsoft YaHei" w:hAnsi="Microsoft YaHei" w:eastAsia="Microsoft YaHei"/>
          <w:b w:val="0"/>
        </w:rPr>
        <w:t xml:space="preserve"> — NL 查询/报告生成（body: query, context）；返回带 RAG 引用的答案。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错误码统一：</w:t>
      </w:r>
      <w:r>
        <w:rPr>
          <w:rFonts w:ascii="Consolas" w:hAnsi="Consolas" w:eastAsia="Consolas"/>
          <w:b w:val="0"/>
        </w:rPr>
        <w:t>400 参数错误 / 401 未认证 / 403 权限不足 / 404 不存在 / 422 业务校验失败 / 429 限流 / 500 内部错误</w:t>
      </w:r>
      <w:r>
        <w:rPr>
          <w:rFonts w:ascii="Microsoft YaHei" w:hAnsi="Microsoft YaHei" w:eastAsia="Microsoft YaHei"/>
          <w:b w:val="0"/>
        </w:rPr>
        <w:t>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9. 非功能性需求（NFR）</w:t>
      </w:r>
    </w:p>
    <w:p>
      <w:r>
        <w:rPr>
          <w:rFonts w:ascii="Microsoft YaHei" w:hAnsi="Microsoft YaHei" w:eastAsia="Microsoft YaHei"/>
          <w:b w:val="0"/>
        </w:rPr>
        <w:t>本章规定 iAOP 平台与首模板在性能、可靠性、安全、可扩展、可维护、兼容性方面的底线指标。所有指标均来自已交付化工AI平台的真实基线或工业现场的通用要求，作为验收测试的输入。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类别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指标 / 要求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来源 / 约束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性能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采集 P99 ≤ 1.8s；批量 5k/100ms（见 5.2 条件）；驾驶舱首屏 ≤ 2s、交互 ≥ 30fps；模型推理吞吐 ≥ 50 QPS（70B 本地）；并发用户 ≥ 50（Web）+ 200（移动端只读）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已交付基线 + 设计目标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可靠性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可用性 ≥ 99.8%；丢失率 ≤ 0.02%；模型服务故障自动降级（告警不依赖模型）；断点续传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终验报告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安全-网络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边缘网关严格只读、不反控；传输 mTLS；等保 2.0 三级路线（见 12 章）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安全合规验收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安全-数据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敏感度路由 96.5%、DLP 100%；敏感数据本地闭环；审计日志全量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安全合规验收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安全-功能安全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关键告警/建议不直接联动执行机构；高利害输出人工确认；参考 IEC 61508 概念，AI 输出作为"决策辅助"而非"安全控制"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工业功能安全考量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可扩展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新行业仅配置不改码；推理后端（5090/昇腾）可插拔（见 5.6）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平台化设计原则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可维护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统一日志规范（结构化 JSON）；Prometheus+Grafana 监控告警；故障排查 SOP 文档；配置台版本可追溯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部署底座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/>
                <w:sz w:val="19"/>
              </w:rPr>
              <w:t>兼容性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浏览器 Chrome/Edge 最新两版；移动端 iOS14+/Android 10+；DCS 支持 OPC UA/Modbus/西门子S7；PLC 主流品牌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现场多样性</w:t>
            </w:r>
          </w:p>
        </w:tc>
      </w:tr>
    </w:tbl>
    <w:p>
      <w:pPr>
        <w:spacing w:after="40"/>
      </w:pP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10. 验收标准（Definition of Done）</w:t>
      </w:r>
    </w:p>
    <w:p>
      <w:pPr>
        <w:pStyle w:val="CustomHeading2"/>
      </w:pPr>
      <w:r>
        <w:t>内核（iAOP-Core）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6 大模块达成第 9 章 NFR 指标（量化：P99≤1.8s / 丢失率≤0.02% / 可用性≥99.8% / 路由≥96.5% / 首屏≤2s）。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模块③⑤完成配置化重构，切换模板零改码（演示：换 Template-Ti ↔ 树脂模板，仅改配置）。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 xml:space="preserve">[ ] 模板配置台可用，新人 2–4 周完成新行业模板（"完成"= </w:t>
      </w:r>
      <w:r>
        <w:rPr>
          <w:rFonts w:ascii="Microsoft YaHei" w:hAnsi="Microsoft YaHei" w:eastAsia="Microsoft YaHei"/>
          <w:b/>
        </w:rPr>
        <w:t>生产环境上线 Meta，非仅 Demo</w:t>
      </w:r>
      <w:r>
        <w:rPr>
          <w:rFonts w:ascii="Microsoft YaHei" w:hAnsi="Microsoft YaHei" w:eastAsia="Microsoft YaHei"/>
          <w:b w:val="0"/>
        </w:rPr>
        <w:t>）。</w:t>
      </w:r>
    </w:p>
    <w:p>
      <w:pPr>
        <w:pStyle w:val="CustomHeading2"/>
      </w:pPr>
      <w:r>
        <w:t>首模板（iAOP-Template-Ti 一期）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①质量预测上线，准确率 ≥ 90%，误报率 ≤ 5%。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③炉层杂质预警上线，提前 ≥ 30 分钟，误报率 ≤ 8%。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LLM 报警解释/交接班报告/ NL查询可用，路由准确率 ≥ 96.5%，交接班报告生成 ≤ 2 分钟。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驾驶舱按 Ti 布局渲染，移动端交接班摘要可用。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[ ] 客户 DCS 点位字典导入校验通过，采集达标（P99≤1.8s / 丢失率≤0.02%）。</w:t>
      </w:r>
    </w:p>
    <w:p>
      <w:r>
        <w:rPr>
          <w:rFonts w:ascii="Microsoft YaHei" w:hAnsi="Microsoft YaHei" w:eastAsia="Microsoft YaHei"/>
          <w:b/>
        </w:rPr>
        <w:t>验收流程</w:t>
      </w:r>
      <w:r>
        <w:rPr>
          <w:rFonts w:ascii="Microsoft YaHei" w:hAnsi="Microsoft YaHei" w:eastAsia="Microsoft YaHei"/>
          <w:b w:val="0"/>
        </w:rPr>
        <w:t>：自测（bot_dev）→ 内部评审（bot_pm+bot_po）→ 客户 UAT（王主任/李工确认）→ 上线 → 1 个月质保观察期 → 闭环。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11. 里程碑与排期</w:t>
      </w:r>
    </w:p>
    <w:p>
      <w:r>
        <w:rPr>
          <w:rFonts w:ascii="Microsoft YaHei" w:hAnsi="Microsoft YaHei" w:eastAsia="Microsoft YaHei"/>
          <w:b w:val="0"/>
        </w:rPr>
        <w:t>本节以月为颗粒度列出从启动到客户验收的 5 个里程碑。每一行包含时间、工期、负责人、关键交付物和依赖/缓冲，便于 PM 直接拆任务、跟踪风险。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 xml:space="preserve">假设启动于 </w:t>
      </w:r>
      <w:r>
        <w:rPr>
          <w:rFonts w:ascii="Microsoft YaHei" w:hAnsi="Microsoft YaHei" w:eastAsia="Microsoft YaHei"/>
          <w:b/>
          <w:color w:val="5B6B70"/>
        </w:rPr>
        <w:t>2026-09</w:t>
      </w:r>
      <w:r>
        <w:rPr>
          <w:rFonts w:ascii="Microsoft YaHei" w:hAnsi="Microsoft YaHei" w:eastAsia="Microsoft YaHei"/>
          <w:b w:val="0"/>
          <w:color w:val="5B6B70"/>
        </w:rPr>
        <w:t>；关键依赖与风险缓冲见第 12 章，依赖失败时的备选方案见第 13 章。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53"/>
        <w:gridCol w:w="1553"/>
        <w:gridCol w:w="1553"/>
        <w:gridCol w:w="1553"/>
        <w:gridCol w:w="1553"/>
        <w:gridCol w:w="1553"/>
      </w:tblGrid>
      <w:tr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里程碑</w:t>
            </w:r>
          </w:p>
        </w:tc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工期(周)</w:t>
            </w:r>
          </w:p>
        </w:tc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负责人</w:t>
            </w:r>
          </w:p>
        </w:tc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关键交付</w:t>
            </w:r>
          </w:p>
        </w:tc>
        <w:tc>
          <w:tcPr>
            <w:tcW w:type="dxa" w:w="155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依赖 / 风险缓冲</w:t>
            </w:r>
          </w:p>
        </w:tc>
      </w:tr>
      <w:tr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M1 需求冻结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2026-09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3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bot_po + 王主任（客户）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氯化车间 DCS 点表/LIMS 接口确认、PRD v1.x 定稿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依赖客户数据准备清单提前 2 周发出</w:t>
            </w:r>
          </w:p>
        </w:tc>
      </w:tr>
      <w:tr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M2 内核改造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2026-09 ~ 10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7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bot_pm + bot_dev1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模块③⑤配置化重构、模板配置台原型可用、iAOP-Core 内部发版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风险：模型框架模板化难度，预留 2 周缓冲</w:t>
            </w:r>
          </w:p>
        </w:tc>
      </w:tr>
      <w:tr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M3 首模板配置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2026-10 ~ 12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10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bot_pm + 行业工程师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Template-Ti 4 智能体映射（①③优先上线）、内部验收通过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风险：标注数据不足，以无监督/阈值模型先行</w:t>
            </w:r>
          </w:p>
        </w:tc>
      </w:tr>
      <w:tr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M4 集成测试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2026-12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3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bot_dev2 + QA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端到端联调、NFR 压测（P99/丢失率/可用性）达标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依赖测试环境就绪；预留 1 周缓冲</w:t>
            </w:r>
          </w:p>
        </w:tc>
      </w:tr>
      <w:tr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M5 客户验收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2027-01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4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bot_pm + 客户成功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UAT、生产上线、1 个月质保观察、闭环交付</w:t>
            </w:r>
          </w:p>
        </w:tc>
        <w:tc>
          <w:tcPr>
            <w:tcW w:type="dxa" w:w="155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风险：客户配合度，需 M1 明确责任人与排期</w:t>
            </w:r>
          </w:p>
        </w:tc>
      </w:tr>
    </w:tbl>
    <w:p>
      <w:pPr>
        <w:spacing w:after="40"/>
      </w:pPr>
    </w:p>
    <w:p>
      <w:r>
        <w:rPr>
          <w:rFonts w:ascii="Microsoft YaHei" w:hAnsi="Microsoft YaHei" w:eastAsia="Microsoft YaHei"/>
          <w:b/>
        </w:rPr>
        <w:t>月级甘特简述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2026-09</w:t>
      </w:r>
      <w:r>
        <w:rPr>
          <w:rFonts w:ascii="Microsoft YaHei" w:hAnsi="Microsoft YaHei" w:eastAsia="Microsoft YaHei"/>
          <w:b w:val="0"/>
        </w:rPr>
        <w:t>：需求冻结 + 内核改造启动；发出数据准备清单。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2026-10</w:t>
      </w:r>
      <w:r>
        <w:rPr>
          <w:rFonts w:ascii="Microsoft YaHei" w:hAnsi="Microsoft YaHei" w:eastAsia="Microsoft YaHei"/>
          <w:b w:val="0"/>
        </w:rPr>
        <w:t>：内核改造收尾，首模板进入模型配置；树脂模板封装并行启动。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2026-11</w:t>
      </w:r>
      <w:r>
        <w:rPr>
          <w:rFonts w:ascii="Microsoft YaHei" w:hAnsi="Microsoft YaHei" w:eastAsia="Microsoft YaHei"/>
          <w:b w:val="0"/>
        </w:rPr>
        <w:t>：Ti 模板 ①质量预测 + ③炉层杂质预警联调；RAG 知识库接入。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2026-12</w:t>
      </w:r>
      <w:r>
        <w:rPr>
          <w:rFonts w:ascii="Microsoft YaHei" w:hAnsi="Microsoft YaHei" w:eastAsia="Microsoft YaHei"/>
          <w:b w:val="0"/>
        </w:rPr>
        <w:t>：集成测试 + NFR 压测；缺陷修复与回归。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2027-01</w:t>
      </w:r>
      <w:r>
        <w:rPr>
          <w:rFonts w:ascii="Microsoft YaHei" w:hAnsi="Microsoft YaHei" w:eastAsia="Microsoft YaHei"/>
          <w:b w:val="0"/>
        </w:rPr>
        <w:t>：客户 UAT + 上线 + 质保观察。</w:t>
      </w:r>
    </w:p>
    <w:p>
      <w:r>
        <w:rPr>
          <w:rFonts w:ascii="Microsoft YaHei" w:hAnsi="Microsoft YaHei" w:eastAsia="Microsoft YaHei"/>
          <w:b/>
        </w:rPr>
        <w:t>并行线</w:t>
      </w:r>
      <w:r>
        <w:rPr>
          <w:rFonts w:ascii="Microsoft YaHei" w:hAnsi="Microsoft YaHei" w:eastAsia="Microsoft YaHei"/>
          <w:b w:val="0"/>
        </w:rPr>
        <w:t>：树脂模板封装（M2 起并行，固化已交付项目）；复制推广（M5 后启动化肥/制药，年内 3–5 厂）。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12. 风险与缓解</w:t>
      </w:r>
    </w:p>
    <w:p>
      <w:r>
        <w:rPr>
          <w:rFonts w:ascii="Microsoft YaHei" w:hAnsi="Microsoft YaHei" w:eastAsia="Microsoft YaHei"/>
          <w:b w:val="0"/>
        </w:rPr>
        <w:t>平台化/配置化路径存在 5 项关键风险：技术可行性、数据依赖、硬件成本、零代码边界、安全合规。每一项都给出了等级、具体说明和缓解措施，作为项目 Kick-off 与阶段评审的必检项。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风险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说明与缓解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模型模板化技术风险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P0-高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不同行业数据分布差异可能超出"超参配置"覆盖范围。</w:t>
            </w:r>
            <w:r>
              <w:rPr>
                <w:rFonts w:ascii="Microsoft YaHei" w:hAnsi="Microsoft YaHei" w:eastAsia="Microsoft YaHei"/>
                <w:b/>
                <w:sz w:val="19"/>
              </w:rPr>
              <w:t>缓解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：明确模板化边界——默认超参配置 + Recipe 插件扩展点（见 5.3），超限场景走自定义模型插件，不阻塞内核。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数据依赖风险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P0-高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DCS 点表、LIMS 接口、标注数据均依赖客户。</w:t>
            </w:r>
            <w:r>
              <w:rPr>
                <w:rFonts w:ascii="Microsoft YaHei" w:hAnsi="Microsoft YaHei" w:eastAsia="Microsoft YaHei"/>
                <w:b/>
                <w:sz w:val="19"/>
              </w:rPr>
              <w:t>缓解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：M1 前 2 周发数据准备清单；准备</w:t>
            </w:r>
            <w:r>
              <w:rPr>
                <w:rFonts w:ascii="Microsoft YaHei" w:hAnsi="Microsoft YaHei" w:eastAsia="Microsoft YaHei"/>
                <w:b/>
                <w:sz w:val="19"/>
              </w:rPr>
              <w:t>缺省通用点位集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先行演示（见 13 章）；标注数据不足时①③以无监督先行。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硬件成本接受度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P1-中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4×RTX 5090 + 服务器对客户是较大 Capex。</w:t>
            </w:r>
            <w:r>
              <w:rPr>
                <w:rFonts w:ascii="Microsoft YaHei" w:hAnsi="Microsoft YaHei" w:eastAsia="Microsoft YaHei"/>
                <w:b/>
                <w:sz w:val="19"/>
              </w:rPr>
              <w:t>缓解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：提供云端 SaaS 版或租赁方案；明确 ROI 计算模型（见附录 B）。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"零代码"承诺边界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P1-中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配置驱动理想状态与实际落地的差距。</w:t>
            </w:r>
            <w:r>
              <w:rPr>
                <w:rFonts w:ascii="Microsoft YaHei" w:hAnsi="Microsoft YaHei" w:eastAsia="Microsoft YaHei"/>
                <w:b/>
                <w:sz w:val="19"/>
              </w:rPr>
              <w:t>缓解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：文档中明确"零代码"适用范围（配置驱动层），定制度高场景走插件/实施，不夸大。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安全合规风险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P1-中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工业控制系统网络安全（等保 2.0）、功能安全。</w:t>
            </w:r>
            <w:r>
              <w:rPr>
                <w:rFonts w:ascii="Microsoft YaHei" w:hAnsi="Microsoft YaHei" w:eastAsia="Microsoft YaHei"/>
                <w:b/>
                <w:sz w:val="19"/>
              </w:rPr>
              <w:t>缓解</w:t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：等保三级合规路线图；功能安全 IEC 61508 概念落地（AI 仅作决策辅助，见 9 章）。</w:t>
            </w:r>
          </w:p>
        </w:tc>
      </w:tr>
    </w:tbl>
    <w:p>
      <w:pPr>
        <w:spacing w:after="40"/>
      </w:pP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13. 假设与外部依赖</w:t>
      </w:r>
    </w:p>
    <w:p>
      <w:pPr>
        <w:ind w:left="432"/>
        <w:pBdr>
          <w:left w:val="single" w:sz="18" w:space="8" w:color="028090"/>
        </w:pBdr>
      </w:pPr>
      <w:r>
        <w:rPr>
          <w:rFonts w:ascii="Microsoft YaHei" w:hAnsi="Microsoft YaHei" w:eastAsia="Microsoft YaHei"/>
          <w:b w:val="0"/>
          <w:color w:val="5B6B70"/>
        </w:rPr>
        <w:t>集中列出所有外部依赖与不确定性，避免范围蔓延（回应 7 章多处"待确认"）。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依赖项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  <w:tc>
          <w:tcPr>
            <w:tcW w:type="dxa" w:w="3106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风险缓解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 DCS 点表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决定点位字典与采集范围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提前 2 周发清单；缺省通用点位集先行演示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LIMS / 质量系统接口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质量标签来源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一期可先用人工录入过渡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客户标注数据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监督模型训练所需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①③先无监督/阈值上线，3 月后转监督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网络与机房环境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边缘网关部署条件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现场勘测前置</w:t>
            </w:r>
          </w:p>
        </w:tc>
      </w:tr>
      <w:tr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客户配合度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UAT/上线节奏</w:t>
            </w:r>
          </w:p>
        </w:tc>
        <w:tc>
          <w:tcPr>
            <w:tcW w:type="dxa" w:w="3106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M1 明确里程碑责任</w:t>
            </w:r>
          </w:p>
        </w:tc>
      </w:tr>
    </w:tbl>
    <w:p>
      <w:pPr>
        <w:spacing w:after="40"/>
      </w:pPr>
    </w:p>
    <w:p>
      <w:r>
        <w:rPr>
          <w:rFonts w:ascii="Microsoft YaHei" w:hAnsi="Microsoft YaHei" w:eastAsia="Microsoft YaHei"/>
          <w:b/>
        </w:rPr>
        <w:t>依赖-备选方案对照矩阵</w:t>
      </w:r>
      <w:r>
        <w:rPr>
          <w:rFonts w:ascii="Microsoft YaHei" w:hAnsi="Microsoft YaHei" w:eastAsia="Microsoft YaHei"/>
          <w:b w:val="0"/>
        </w:rPr>
        <w:t>：当某项外部依赖延迟或失败时，启用对应备选方案，避免项目停摆。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</w:tblGrid>
      <w:tr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依赖项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失败场景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备选方案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触发条件</w:t>
            </w:r>
          </w:p>
        </w:tc>
        <w:tc>
          <w:tcPr>
            <w:tcW w:type="dxa" w:w="1863"/>
            <w:shd w:val="clear" w:color="auto" w:fill="028090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影响范围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 DCS 点表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点表延迟或字段不完整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启用缺省通用点位集先行演示；仅接入已确认点位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M1 截止日仍未收到完整点表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①③可先行，②④延后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LIMS/质量系统接口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无标准接口或审批周期长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一期改用人工录入/批量导入质量标签；二期补接口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M1 接口方案未定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仅影响监督模型训练，监控类模型不受影响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客户标注数据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历史标注不足或质量差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①③先用无监督/阈值模型上线；标注积累后再转监督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M3 启动前标注数据 &lt; 1000 条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模型准确率天花板暂降，但不阻塞上线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网络/机房环境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无法部署本地 GPU 服务器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提供云端 SaaS 演示环境或租赁方案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现场勘测不通过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首厂上线延迟，但不阻塞内核研发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客户配合度（UAT）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客户关键责任人缺席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M1 即签订 UAT 排期与责任矩阵；必要时按内部验收标准先行上线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M5 前 2 周客户未确认 UAT 时间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质保观察期可后延</w:t>
            </w:r>
          </w:p>
        </w:tc>
      </w:tr>
      <w:tr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昇腾/NPU 硬件到位延迟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客户采购流程长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默认 RTX 5090 方案先行；昇腾适配层在 M2 已完成抽象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部署前硬件未到位</w:t>
            </w:r>
          </w:p>
        </w:tc>
        <w:tc>
          <w:tcPr>
            <w:tcW w:type="dxa" w:w="1863"/>
          </w:tcPr>
          <w:p>
            <w:r>
              <w:rPr>
                <w:sz w:val="19"/>
              </w:rPr>
            </w:r>
            <w:r>
              <w:rPr>
                <w:rFonts w:ascii="Microsoft YaHei" w:hAnsi="Microsoft YaHei" w:eastAsia="Microsoft YaHei"/>
                <w:b w:val="0"/>
                <w:sz w:val="19"/>
              </w:rPr>
              <w:t>不影响业务代码，切换后端 = 改配置</w:t>
            </w:r>
          </w:p>
        </w:tc>
      </w:tr>
    </w:tbl>
    <w:p>
      <w:pPr>
        <w:spacing w:after="40"/>
      </w:pPr>
    </w:p>
    <w:p>
      <w:r>
        <w:rPr>
          <w:rFonts w:ascii="Microsoft YaHei" w:hAnsi="Microsoft YaHei" w:eastAsia="Microsoft YaHei"/>
          <w:b/>
        </w:rPr>
        <w:t>缺省数据策略</w:t>
      </w:r>
      <w:r>
        <w:rPr>
          <w:rFonts w:ascii="Microsoft YaHei" w:hAnsi="Microsoft YaHei" w:eastAsia="Microsoft YaHei"/>
          <w:b w:val="0"/>
        </w:rPr>
        <w:t>：若客户点表延迟，启用默认通用点位集（代表典型氯化工况）完成演示与框架验证，点表到位后无缝切换——保证项目不因数据延迟停摆。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14. 成本分析附录</w:t>
      </w:r>
    </w:p>
    <w:p>
      <w:r>
        <w:rPr>
          <w:rFonts w:ascii="Microsoft YaHei" w:hAnsi="Microsoft YaHei" w:eastAsia="Microsoft YaHei"/>
          <w:b/>
        </w:rPr>
        <w:t>首厂一次性投入（真实测算，含硬件）</w:t>
      </w:r>
      <w:r>
        <w:rPr>
          <w:rFonts w:ascii="Microsoft YaHei" w:hAnsi="Microsoft YaHei" w:eastAsia="Microsoft YaHei"/>
          <w:b w:val="0"/>
        </w:rPr>
        <w:t xml:space="preserve">：约 </w:t>
      </w:r>
      <w:r>
        <w:rPr>
          <w:rFonts w:ascii="Microsoft YaHei" w:hAnsi="Microsoft YaHei" w:eastAsia="Microsoft YaHei"/>
          <w:b/>
        </w:rPr>
        <w:t>99.66 万元</w:t>
      </w:r>
      <w:r>
        <w:rPr>
          <w:rFonts w:ascii="Microsoft YaHei" w:hAnsi="Microsoft YaHei" w:eastAsia="Microsoft YaHei"/>
          <w:b w:val="0"/>
        </w:rPr>
        <w:t>（其中硬件约 33.66 万：4×RTX 5090 + 服务器 + 边缘网关）；软件实施与集成约 66 万。</w:t>
      </w:r>
    </w:p>
    <w:p>
      <w:r>
        <w:rPr>
          <w:rFonts w:ascii="Microsoft YaHei" w:hAnsi="Microsoft YaHei" w:eastAsia="Microsoft YaHei"/>
          <w:b/>
        </w:rPr>
        <w:t>首厂年运营</w:t>
      </w:r>
      <w:r>
        <w:rPr>
          <w:rFonts w:ascii="Microsoft YaHei" w:hAnsi="Microsoft YaHei" w:eastAsia="Microsoft YaHei"/>
          <w:b w:val="0"/>
        </w:rPr>
        <w:t xml:space="preserve">：约 </w:t>
      </w:r>
      <w:r>
        <w:rPr>
          <w:rFonts w:ascii="Microsoft YaHei" w:hAnsi="Microsoft YaHei" w:eastAsia="Microsoft YaHei"/>
          <w:b/>
        </w:rPr>
        <w:t>10.5 万元</w:t>
      </w:r>
      <w:r>
        <w:rPr>
          <w:rFonts w:ascii="Microsoft YaHei" w:hAnsi="Microsoft YaHei" w:eastAsia="Microsoft YaHei"/>
          <w:b w:val="0"/>
        </w:rPr>
        <w:t>（云/电/运维/许可）。</w:t>
      </w:r>
    </w:p>
    <w:p>
      <w:r>
        <w:rPr>
          <w:rFonts w:ascii="Microsoft YaHei" w:hAnsi="Microsoft YaHei" w:eastAsia="Microsoft YaHei"/>
          <w:b/>
        </w:rPr>
        <w:t>内核沉淀后边际成本</w:t>
      </w:r>
      <w:r>
        <w:rPr>
          <w:rFonts w:ascii="Microsoft YaHei" w:hAnsi="Microsoft YaHei" w:eastAsia="Microsoft YaHei"/>
          <w:b w:val="0"/>
        </w:rPr>
        <w:t>：后续厂转为"内核授权 30–45 万 + 行业模板实施 15–25 万 + 年订阅 8–12 万/厂"，软件从"从零开发"转为"授权"，边际成本大幅下降。</w:t>
      </w:r>
    </w:p>
    <w:p>
      <w:r>
        <w:rPr>
          <w:rFonts w:ascii="Microsoft YaHei" w:hAnsi="Microsoft YaHei" w:eastAsia="Microsoft YaHei"/>
          <w:b/>
        </w:rPr>
        <w:t>ROI 逻辑</w:t>
      </w:r>
      <w:r>
        <w:rPr>
          <w:rFonts w:ascii="Microsoft YaHei" w:hAnsi="Microsoft YaHei" w:eastAsia="Microsoft YaHei"/>
          <w:b w:val="0"/>
        </w:rPr>
        <w:t>：以吨产品能耗降 3–8%、质检返工降、非计划停机降折算年化收益，典型中型厂回收期 12–24 个月（见《产品策划方案》第七章）。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15. 附录</w:t>
      </w:r>
    </w:p>
    <w:p>
      <w:pPr>
        <w:pStyle w:val="CustomHeading2"/>
      </w:pPr>
      <w:r>
        <w:t>附录 A：效率提升测算逻辑（对应 6 章）</w:t>
      </w:r>
    </w:p>
    <w:p>
      <w:r>
        <w:rPr>
          <w:rFonts w:ascii="Microsoft YaHei" w:hAnsi="Microsoft YaHei" w:eastAsia="Microsoft YaHei"/>
          <w:b w:val="0"/>
        </w:rPr>
        <w:t>以树脂首厂 76 任务为基线，按"配置驱动可复用 / 轻量调整 / 专项实施"三层拆解（详见 6 章正文），新行业有效工作量 ≈ 43%（复用）+ 部分调整，叠加并行化，周期压缩 50%+；"~90% 工作量由模板决定"指配置驱动层占首厂总工作量约 90%。本测算为方法论示意，具体以交付复盘校准。</w:t>
      </w:r>
    </w:p>
    <w:p>
      <w:pPr>
        <w:pStyle w:val="CustomHeading2"/>
      </w:pPr>
      <w:r>
        <w:t>附录 B：缩写表与参考资料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缩写</w:t>
      </w:r>
      <w:r>
        <w:rPr>
          <w:rFonts w:ascii="Microsoft YaHei" w:hAnsi="Microsoft YaHei" w:eastAsia="Microsoft YaHei"/>
          <w:b w:val="0"/>
        </w:rPr>
        <w:t>：DCS 分布式控制系统 / PLC 可编程逻辑控制器 / LIMS 实验室信息管理系统 / RAG 检索增强生成 / DLP 数据防泄漏 / ER 实体关系 / MVP 最小可行产品 / UAT 用户验收测试 / SLA 服务等级协议 / SOP 标准作业程序 / NFR 非功能性需求 / Meta 上线里程碑。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参考资料</w:t>
      </w:r>
      <w:r>
        <w:rPr>
          <w:rFonts w:ascii="Microsoft YaHei" w:hAnsi="Microsoft YaHei" w:eastAsia="Microsoft YaHei"/>
          <w:b w:val="0"/>
        </w:rPr>
        <w:t>：《化工新材料AI平台技术方案 V2.0》《M1-M2 阶段评审》《终验报告》《DeepSeek 大模型应用预算方案》《项目对比与通用产品可行性分析》《通用工业AI优化平台_产品策划方案》《市场调研复盘》《工信部"人工智能+制造"行动方案(2026-2028)》。</w:t>
      </w:r>
    </w:p>
    <w:p>
      <w:pPr>
        <w:pBdr>
          <w:bottom w:val="single" w:sz="6" w:space="1" w:color="CCCCCC"/>
        </w:pBdr>
      </w:pPr>
    </w:p>
    <w:p>
      <w:pPr>
        <w:pStyle w:val="CustomHeading1"/>
      </w:pPr>
      <w:r>
        <w:t>16. 术语表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iAOP</w:t>
      </w:r>
      <w:r>
        <w:rPr>
          <w:rFonts w:ascii="Microsoft YaHei" w:hAnsi="Microsoft YaHei" w:eastAsia="Microsoft YaHei"/>
          <w:b w:val="0"/>
        </w:rPr>
        <w:t>：云美工业AI优化平台（YunMei Industrial AI Optimization Platform）。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iAOP-Core</w:t>
      </w:r>
      <w:r>
        <w:rPr>
          <w:rFonts w:ascii="Microsoft YaHei" w:hAnsi="Microsoft YaHei" w:eastAsia="Microsoft YaHei"/>
          <w:b w:val="0"/>
        </w:rPr>
        <w:t>：通用内核（6 模块 + 配置台）。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iAOP-Template-{行业}</w:t>
      </w:r>
      <w:r>
        <w:rPr>
          <w:rFonts w:ascii="Microsoft YaHei" w:hAnsi="Microsoft YaHei" w:eastAsia="Microsoft YaHei"/>
          <w:b w:val="0"/>
        </w:rPr>
        <w:t>：行业模板（5 要素交付物）。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点位字典</w:t>
      </w:r>
      <w:r>
        <w:rPr>
          <w:rFonts w:ascii="Microsoft YaHei" w:hAnsi="Microsoft YaHei" w:eastAsia="Microsoft YaHei"/>
          <w:b w:val="0"/>
        </w:rPr>
        <w:t>：描述采集对象的 CSV 配置。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敏感度路由</w:t>
      </w:r>
      <w:r>
        <w:rPr>
          <w:rFonts w:ascii="Microsoft YaHei" w:hAnsi="Microsoft YaHei" w:eastAsia="Microsoft YaHei"/>
          <w:b w:val="0"/>
        </w:rPr>
        <w:t>：LLM 网关按数据敏感度决定本地/云端处理。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沸腾氯化</w:t>
      </w:r>
      <w:r>
        <w:rPr>
          <w:rFonts w:ascii="Microsoft YaHei" w:hAnsi="Microsoft YaHei" w:eastAsia="Microsoft YaHei"/>
          <w:b w:val="0"/>
        </w:rPr>
        <w:t>：高端氯化法钛白粉核心工艺，氯化车间AI 主攻对象。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Model Recipe</w:t>
      </w:r>
      <w:r>
        <w:rPr>
          <w:rFonts w:ascii="Microsoft YaHei" w:hAnsi="Microsoft YaHei" w:eastAsia="Microsoft YaHei"/>
          <w:b w:val="0"/>
        </w:rPr>
        <w:t>：声明式模型结构注册项，允许高级模板选择不同网络结构而不改内核。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FeatureSpec</w:t>
      </w:r>
      <w:r>
        <w:rPr>
          <w:rFonts w:ascii="Microsoft YaHei" w:hAnsi="Microsoft YaHei" w:eastAsia="Microsoft YaHei"/>
          <w:b w:val="0"/>
        </w:rPr>
        <w:t>：声明式特征定义，由工艺模板描述、框架解释执行。</w:t>
      </w:r>
    </w:p>
    <w:p>
      <w:pPr>
        <w:pBdr>
          <w:bottom w:val="single" w:sz="6" w:space="1" w:color="CCCCCC"/>
        </w:pBdr>
      </w:pPr>
    </w:p>
    <w:p>
      <w:r>
        <w:rPr>
          <w:rFonts w:ascii="Microsoft YaHei" w:hAnsi="Microsoft YaHei" w:eastAsia="Microsoft YaHei"/>
          <w:b w:val="0"/>
        </w:rPr>
        <w:t>*附：本 PRD 技术参数均来自已交付的化工新材料AI平台真实资料（技术方案V2.0、M1-M2评审、终验报告、预算方案）；氯化车间部分基于对比分析的外推，待需求细化与现场 DCS 点表确认后更新。v1.1 已据《PRD 评审意见》补全 P0/P1/P2 修订项。本文档为设计基线，开发前由 bot_pm 拆解为可执行任务。*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68" w:right="1296" w:bottom="136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B70"/>
        <w:sz w:val="16"/>
      </w:rPr>
      <w:t xml:space="preserve">密级：商业机密 · 编制：bot_po · 2026-08-04（v1.2）        第 </w:t>
    </w:r>
    <w:r>
      <w:rPr>
        <w:color w:val="5B6B70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B6B70"/>
        <w:sz w:val="16"/>
      </w:rPr>
      <w:t>云美工业AI优化平台（iAOP）· 产品设计文档（PRD v1.2）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ustomHeading1">
    <w:name w:val="CustomHeading1"/>
    <w:pPr>
      <w:spacing w:before="280" w:after="160"/>
    </w:pPr>
    <w:rPr>
      <w:rFonts w:ascii="Microsoft YaHei" w:hAnsi="Microsoft YaHei" w:eastAsia="Microsoft YaHei"/>
      <w:b/>
      <w:color w:val="028090"/>
      <w:sz w:val="34"/>
    </w:rPr>
  </w:style>
  <w:style w:type="paragraph" w:customStyle="1" w:styleId="CustomHeading2">
    <w:name w:val="CustomHeading2"/>
    <w:pPr>
      <w:spacing w:before="200" w:after="100"/>
    </w:pPr>
    <w:rPr>
      <w:rFonts w:ascii="Microsoft YaHei" w:hAnsi="Microsoft YaHei" w:eastAsia="Microsoft YaHei"/>
      <w:b/>
      <w:color w:val="16262B"/>
      <w:sz w:val="26"/>
    </w:rPr>
  </w:style>
  <w:style w:type="paragraph" w:customStyle="1" w:styleId="CustomHeading3">
    <w:name w:val="CustomHeading3"/>
    <w:pPr>
      <w:spacing w:before="0" w:after="120"/>
    </w:pPr>
    <w:rPr>
      <w:rFonts w:ascii="Microsoft YaHei" w:hAnsi="Microsoft YaHei" w:eastAsia="Microsoft YaHei"/>
      <w:b/>
      <w:color w:val="16262B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